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sz w:val="52"/>
          <w:szCs w:val="52"/>
        </w:rPr>
      </w:pPr>
      <w:r>
        <w:rPr>
          <w:rFonts w:eastAsia="黑体"/>
          <w:sz w:val="52"/>
          <w:szCs w:val="52"/>
        </w:rPr>
        <w:t>产品质量监督抽查实施细则</w:t>
      </w:r>
    </w:p>
    <w:p>
      <w:pPr>
        <w:spacing w:line="440" w:lineRule="exact"/>
        <w:jc w:val="center"/>
        <w:rPr>
          <w:rFonts w:eastAsia="黑体"/>
          <w:sz w:val="44"/>
          <w:szCs w:val="44"/>
        </w:rPr>
      </w:pPr>
      <w:r>
        <w:rPr>
          <w:rFonts w:eastAsia="黑体"/>
          <w:sz w:val="44"/>
          <w:szCs w:val="44"/>
        </w:rPr>
        <w:pict>
          <v:line id="直线 18" o:spid="_x0000_s1026" o:spt="20" style="position:absolute;left:0pt;flip:y;margin-left:5.4pt;margin-top:7.95pt;height:0.15pt;width:409.5pt;z-index:251663360;mso-width-relative:page;mso-height-relative:page;" coordsize="21600,21600" o:gfxdata="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UCA3tYAAAAIAQAADwAA&#10;AAAAAAABACAAAAAiAAAAZHJzL2Rvd25yZXYueG1sUEsBAhQAFAAAAAgAh07iQAUZKOjfAQAAsAMA&#10;AA4AAAAAAAAAAQAgAAAAJQEAAGRycy9lMm9Eb2MueG1sUEsFBgAAAAAGAAYAWQEAAHYFAAAAAA==&#10;">
            <v:path arrowok="t"/>
            <v:fill focussize="0,0"/>
            <v:stroke weight="1pt"/>
            <v:imagedata o:title=""/>
            <o:lock v:ext="edit"/>
          </v:line>
        </w:pict>
      </w:r>
    </w:p>
    <w:p>
      <w:pPr>
        <w:adjustRightInd w:val="0"/>
        <w:snapToGrid w:val="0"/>
        <w:spacing w:before="240" w:line="360" w:lineRule="exact"/>
        <w:jc w:val="center"/>
        <w:rPr>
          <w:rFonts w:eastAsia="黑体"/>
          <w:color w:val="000000"/>
          <w:spacing w:val="20"/>
          <w:w w:val="105"/>
          <w:sz w:val="44"/>
          <w:szCs w:val="44"/>
        </w:rPr>
      </w:pPr>
    </w:p>
    <w:p>
      <w:pPr>
        <w:adjustRightInd w:val="0"/>
        <w:snapToGrid w:val="0"/>
        <w:spacing w:before="240" w:line="360" w:lineRule="exact"/>
        <w:jc w:val="center"/>
        <w:rPr>
          <w:rFonts w:eastAsia="黑体"/>
          <w:color w:val="000000"/>
          <w:spacing w:val="20"/>
          <w:w w:val="105"/>
          <w:sz w:val="44"/>
          <w:szCs w:val="44"/>
        </w:rPr>
      </w:pPr>
    </w:p>
    <w:p>
      <w:pPr>
        <w:adjustRightInd w:val="0"/>
        <w:snapToGrid w:val="0"/>
        <w:spacing w:before="240" w:line="360" w:lineRule="exact"/>
        <w:jc w:val="center"/>
        <w:rPr>
          <w:rFonts w:eastAsia="黑体"/>
          <w:color w:val="000000"/>
          <w:spacing w:val="20"/>
          <w:w w:val="105"/>
          <w:sz w:val="44"/>
          <w:szCs w:val="44"/>
        </w:rPr>
      </w:pPr>
      <w:r>
        <w:rPr>
          <w:b/>
          <w:sz w:val="44"/>
          <w:szCs w:val="44"/>
        </w:rPr>
        <w:pict>
          <v:line id="Line 2" o:spid="_x0000_s1030" o:spt="20" style="position:absolute;left:0pt;margin-left:9pt;margin-top:42.55pt;height:0pt;width:454.5pt;z-index:251659264;mso-width-relative:page;mso-height-relative:page;" stroked="t" coordsize="21600,21600" o:gfxdata="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nxh5rVAAAACAEAAA8AAAAAAAAAAQAgAAAAIgAAAGRycy9kb3du&#10;cmV2LnhtbFBLAQIUABQAAAAIAIdO4kBrr9hCyQEAAKADAAAOAAAAAAAAAAEAIAAAACQBAABkcnMv&#10;ZTJvRG9jLnhtbFBLBQYAAAAABgAGAFkBAABfBQAAAAA=&#10;">
            <v:path arrowok="t"/>
            <v:fill focussize="0,0"/>
            <v:stroke weight="1pt" color="#FFFFFF"/>
            <v:imagedata o:title=""/>
            <o:lock v:ext="edit"/>
          </v:line>
        </w:pict>
      </w:r>
    </w:p>
    <w:p>
      <w:pPr>
        <w:adjustRightInd w:val="0"/>
        <w:snapToGrid w:val="0"/>
        <w:spacing w:line="360" w:lineRule="auto"/>
        <w:jc w:val="both"/>
        <w:rPr>
          <w:b/>
          <w:sz w:val="44"/>
          <w:szCs w:val="44"/>
        </w:rPr>
      </w:pPr>
    </w:p>
    <w:p>
      <w:pPr>
        <w:jc w:val="center"/>
        <w:rPr>
          <w:rFonts w:eastAsia="黑体"/>
          <w:color w:val="000000"/>
          <w:spacing w:val="20"/>
          <w:w w:val="105"/>
          <w:sz w:val="36"/>
          <w:szCs w:val="36"/>
        </w:rPr>
      </w:pPr>
    </w:p>
    <w:p>
      <w:pPr>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2026年新疆生产建设兵团滴灌带</w:t>
      </w:r>
    </w:p>
    <w:p>
      <w:pPr>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产品质量监督抽查实施细则</w:t>
      </w:r>
    </w:p>
    <w:p>
      <w:pPr>
        <w:spacing w:line="360" w:lineRule="auto"/>
        <w:jc w:val="center"/>
        <w:rPr>
          <w:sz w:val="44"/>
          <w:szCs w:val="44"/>
        </w:rP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tabs>
          <w:tab w:val="left" w:pos="3765"/>
        </w:tabs>
        <w:spacing w:line="360" w:lineRule="auto"/>
      </w:pPr>
      <w:r>
        <w:tab/>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pPr>
    </w:p>
    <w:p>
      <w:pPr>
        <w:adjustRightInd w:val="0"/>
        <w:spacing w:line="480" w:lineRule="exact"/>
        <w:jc w:val="left"/>
        <w:rPr>
          <w:rFonts w:ascii="黑体" w:hAnsi="黑体" w:eastAsia="黑体"/>
          <w:bCs/>
          <w:sz w:val="24"/>
        </w:rPr>
      </w:pPr>
      <w:r>
        <w:rPr>
          <w:rFonts w:ascii="黑体" w:hAnsi="黑体" w:eastAsia="黑体"/>
          <w:bCs/>
          <w:sz w:val="32"/>
          <w:szCs w:val="32"/>
        </w:rPr>
        <w:pict>
          <v:line id="_x0000_s1028" o:spid="_x0000_s1028" o:spt="20" style="position:absolute;left:0pt;margin-left:-2.45pt;margin-top:23.25pt;height:1.55pt;width:417.1pt;z-index:251662336;mso-width-relative:page;mso-height-relative:page;" filled="f" stroked="t" coordsize="21600,21600">
            <v:path arrowok="t"/>
            <v:fill on="f" focussize="0,0"/>
            <v:stroke weight="0.25pt" color="#000000"/>
            <v:imagedata o:title=""/>
            <o:lock v:ext="edit" aspectratio="f"/>
          </v:line>
        </w:pict>
      </w:r>
      <w:r>
        <w:rPr>
          <w:rFonts w:ascii="黑体" w:hAnsi="黑体" w:eastAsia="黑体"/>
          <w:color w:val="000000"/>
          <w:spacing w:val="20"/>
          <w:w w:val="105"/>
          <w:sz w:val="36"/>
          <w:szCs w:val="36"/>
        </w:rPr>
        <w:pict>
          <v:line id="Line 3" o:spid="_x0000_s1029" o:spt="20" style="position:absolute;left:0pt;margin-left:-9pt;margin-top:2.95pt;height:0pt;width:450pt;z-index:251660288;mso-width-relative:page;mso-height-relative:page;" stroked="t" coordsize="21600,21600" o:gfxdata="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Nvnb1QAAAAcBAAAPAAAAAAAAAAEAIAAAACIAAABkcnMvZG93bnJl&#10;di54bWxQSwECFAAUAAAACACHTuJAIF0ooscBAACgAwAADgAAAAAAAAABACAAAAAkAQAAZHJzL2Uy&#10;b0RvYy54bWxQSwUGAAAAAAYABgBZAQAAXQUAAAAA&#10;">
            <v:path arrowok="t"/>
            <v:fill focussize="0,0"/>
            <v:stroke weight="1pt" color="#FFFFFF"/>
            <v:imagedata o:title=""/>
            <o:lock v:ext="edit"/>
          </v:line>
        </w:pict>
      </w:r>
      <w:r>
        <w:rPr>
          <w:rFonts w:hint="eastAsia" w:ascii="黑体" w:hAnsi="黑体" w:eastAsia="黑体"/>
          <w:bCs/>
          <w:sz w:val="24"/>
        </w:rPr>
        <w:t>2026</w:t>
      </w:r>
      <w:r>
        <w:rPr>
          <w:rFonts w:ascii="黑体" w:hAnsi="黑体" w:eastAsia="黑体"/>
          <w:bCs/>
          <w:sz w:val="24"/>
        </w:rPr>
        <w:t>-</w:t>
      </w:r>
      <w:r>
        <w:rPr>
          <w:rFonts w:hint="eastAsia" w:ascii="黑体" w:hAnsi="黑体" w:eastAsia="黑体"/>
          <w:bCs/>
          <w:sz w:val="24"/>
        </w:rPr>
        <w:t>0</w:t>
      </w:r>
      <w:r>
        <w:rPr>
          <w:rFonts w:hint="eastAsia" w:ascii="黑体" w:hAnsi="黑体" w:eastAsia="黑体"/>
          <w:bCs/>
          <w:sz w:val="24"/>
          <w:lang w:val="en-US" w:eastAsia="zh-CN"/>
        </w:rPr>
        <w:t>6</w:t>
      </w:r>
      <w:r>
        <w:rPr>
          <w:rFonts w:ascii="黑体" w:hAnsi="黑体" w:eastAsia="黑体"/>
          <w:bCs/>
          <w:sz w:val="24"/>
        </w:rPr>
        <w:t xml:space="preserve">发布                                     </w:t>
      </w:r>
      <w:r>
        <w:rPr>
          <w:rFonts w:hint="eastAsia" w:ascii="黑体" w:hAnsi="黑体" w:eastAsia="黑体"/>
          <w:bCs/>
          <w:sz w:val="24"/>
          <w:lang w:val="en-US" w:eastAsia="zh-CN"/>
        </w:rPr>
        <w:t xml:space="preserve"> </w:t>
      </w:r>
      <w:bookmarkStart w:id="0" w:name="_GoBack"/>
      <w:bookmarkEnd w:id="0"/>
      <w:r>
        <w:rPr>
          <w:rFonts w:ascii="黑体" w:hAnsi="黑体" w:eastAsia="黑体"/>
          <w:bCs/>
          <w:sz w:val="24"/>
        </w:rPr>
        <w:t xml:space="preserve">    </w:t>
      </w:r>
      <w:r>
        <w:rPr>
          <w:rFonts w:hint="eastAsia" w:ascii="黑体" w:hAnsi="黑体" w:eastAsia="黑体"/>
          <w:bCs/>
          <w:sz w:val="24"/>
          <w:lang w:val="en-US" w:eastAsia="zh-CN"/>
        </w:rPr>
        <w:t xml:space="preserve">   </w:t>
      </w:r>
      <w:r>
        <w:rPr>
          <w:rFonts w:hint="eastAsia" w:ascii="黑体" w:hAnsi="黑体" w:eastAsia="黑体"/>
          <w:bCs/>
          <w:sz w:val="24"/>
        </w:rPr>
        <w:t>2026</w:t>
      </w:r>
      <w:r>
        <w:rPr>
          <w:rFonts w:ascii="黑体" w:hAnsi="黑体" w:eastAsia="黑体"/>
          <w:bCs/>
          <w:sz w:val="24"/>
        </w:rPr>
        <w:t>-</w:t>
      </w:r>
      <w:r>
        <w:rPr>
          <w:rFonts w:hint="eastAsia" w:ascii="黑体" w:hAnsi="黑体" w:eastAsia="黑体"/>
          <w:bCs/>
          <w:sz w:val="24"/>
        </w:rPr>
        <w:t>0</w:t>
      </w:r>
      <w:r>
        <w:rPr>
          <w:rFonts w:hint="eastAsia" w:ascii="黑体" w:hAnsi="黑体" w:eastAsia="黑体"/>
          <w:bCs/>
          <w:sz w:val="24"/>
          <w:lang w:val="en-US" w:eastAsia="zh-CN"/>
        </w:rPr>
        <w:t>6</w:t>
      </w:r>
      <w:r>
        <w:rPr>
          <w:rFonts w:ascii="黑体" w:hAnsi="黑体" w:eastAsia="黑体"/>
          <w:bCs/>
          <w:sz w:val="24"/>
        </w:rPr>
        <w:t>实施</w:t>
      </w:r>
    </w:p>
    <w:p>
      <w:pPr>
        <w:ind w:firstLine="1920" w:firstLineChars="600"/>
        <w:rPr>
          <w:rFonts w:eastAsia="黑体"/>
          <w:color w:val="000000"/>
          <w:spacing w:val="20"/>
          <w:sz w:val="32"/>
          <w:szCs w:val="32"/>
        </w:rPr>
      </w:pPr>
      <w:r>
        <w:rPr>
          <w:rFonts w:ascii="黑体" w:hAnsi="黑体" w:eastAsia="黑体"/>
          <w:bCs/>
          <w:sz w:val="32"/>
          <w:szCs w:val="32"/>
        </w:rPr>
        <w:t>新疆生产建设兵团市场监督管理局</w:t>
      </w:r>
    </w:p>
    <w:p>
      <w:pPr>
        <w:spacing w:line="440" w:lineRule="exact"/>
        <w:jc w:val="center"/>
        <w:rPr>
          <w:rFonts w:hint="default" w:ascii="Times New Roman" w:hAnsi="Times New Roman" w:eastAsia="方正小标宋简体" w:cs="Times New Roman"/>
          <w:bCs/>
          <w:color w:val="000000"/>
          <w:sz w:val="32"/>
          <w:szCs w:val="32"/>
        </w:rPr>
      </w:pPr>
      <w:r>
        <w:rPr>
          <w:rFonts w:hint="default" w:ascii="Times New Roman" w:hAnsi="Times New Roman" w:eastAsia="方正小标宋简体" w:cs="Times New Roman"/>
          <w:bCs/>
          <w:color w:val="000000"/>
          <w:sz w:val="32"/>
          <w:szCs w:val="32"/>
        </w:rPr>
        <w:t>2026年新疆生产建设兵团滴灌带</w:t>
      </w:r>
    </w:p>
    <w:p>
      <w:pPr>
        <w:spacing w:line="440" w:lineRule="exact"/>
        <w:jc w:val="center"/>
        <w:rPr>
          <w:rFonts w:hint="default" w:ascii="Times New Roman" w:hAnsi="Times New Roman" w:eastAsia="方正小标宋简体" w:cs="Times New Roman"/>
          <w:bCs/>
          <w:color w:val="000000"/>
          <w:sz w:val="32"/>
          <w:szCs w:val="32"/>
        </w:rPr>
      </w:pPr>
      <w:r>
        <w:rPr>
          <w:rFonts w:hint="default" w:ascii="Times New Roman" w:hAnsi="Times New Roman" w:eastAsia="方正小标宋简体" w:cs="Times New Roman"/>
          <w:bCs/>
          <w:color w:val="000000"/>
          <w:sz w:val="32"/>
          <w:szCs w:val="32"/>
        </w:rPr>
        <w:t>产品质量监督抽查实施细则</w:t>
      </w:r>
    </w:p>
    <w:p>
      <w:pPr>
        <w:snapToGrid w:val="0"/>
        <w:jc w:val="center"/>
        <w:rPr>
          <w:rFonts w:eastAsia="方正小标宋简体"/>
          <w:sz w:val="32"/>
          <w:szCs w:val="32"/>
        </w:rPr>
      </w:pPr>
    </w:p>
    <w:p>
      <w:pPr>
        <w:snapToGrid w:val="0"/>
        <w:spacing w:line="440" w:lineRule="exact"/>
        <w:rPr>
          <w:rFonts w:ascii="黑体" w:hAnsi="宋体" w:eastAsia="黑体"/>
          <w:b/>
          <w:bCs/>
          <w:szCs w:val="21"/>
        </w:rPr>
      </w:pPr>
      <w:r>
        <w:rPr>
          <w:rFonts w:hint="eastAsia" w:ascii="黑体" w:hAnsi="宋体" w:eastAsia="黑体"/>
          <w:b/>
          <w:bCs/>
          <w:szCs w:val="21"/>
        </w:rPr>
        <w:t>1 抽样方法</w:t>
      </w:r>
    </w:p>
    <w:p>
      <w:pPr>
        <w:snapToGrid w:val="0"/>
        <w:spacing w:line="440" w:lineRule="exact"/>
        <w:ind w:firstLine="420" w:firstLineChars="200"/>
        <w:rPr>
          <w:color w:val="000000"/>
          <w:szCs w:val="21"/>
        </w:rPr>
      </w:pPr>
      <w:r>
        <w:rPr>
          <w:color w:val="000000"/>
          <w:szCs w:val="21"/>
        </w:rPr>
        <w:t>以随机抽样的方式在被抽样生产者、销售者的待销产品中抽取。</w:t>
      </w:r>
    </w:p>
    <w:p>
      <w:pPr>
        <w:snapToGrid w:val="0"/>
        <w:spacing w:line="440" w:lineRule="exact"/>
        <w:ind w:firstLine="420" w:firstLineChars="200"/>
        <w:rPr>
          <w:color w:val="000000"/>
          <w:szCs w:val="21"/>
        </w:rPr>
      </w:pPr>
      <w:r>
        <w:rPr>
          <w:color w:val="000000"/>
          <w:szCs w:val="21"/>
        </w:rPr>
        <w:t>随机数一般可使用随机数表等方法产生。</w:t>
      </w:r>
    </w:p>
    <w:p>
      <w:pPr>
        <w:snapToGrid w:val="0"/>
        <w:spacing w:line="440" w:lineRule="exact"/>
        <w:ind w:firstLine="420" w:firstLineChars="200"/>
        <w:rPr>
          <w:color w:val="000000"/>
          <w:szCs w:val="21"/>
        </w:rPr>
      </w:pPr>
      <w:r>
        <w:rPr>
          <w:color w:val="000000"/>
          <w:szCs w:val="21"/>
        </w:rPr>
        <w:t>每批次产品</w:t>
      </w:r>
      <w:r>
        <w:rPr>
          <w:rFonts w:hint="eastAsia"/>
          <w:color w:val="000000"/>
          <w:szCs w:val="21"/>
        </w:rPr>
        <w:t>随机</w:t>
      </w:r>
      <w:r>
        <w:rPr>
          <w:color w:val="000000"/>
          <w:szCs w:val="21"/>
        </w:rPr>
        <w:t>抽取完整包装的样品1卷（每卷长度大于等于1000米），现场将抽取到的1卷滴灌带去除外表层10米后，截取两份200米长的样品，分别标记为1号和2号，其中1号作为检验样品，2号作为备用样品。</w:t>
      </w:r>
    </w:p>
    <w:p>
      <w:pPr>
        <w:snapToGrid w:val="0"/>
        <w:spacing w:line="440" w:lineRule="exact"/>
        <w:rPr>
          <w:rFonts w:ascii="黑体" w:hAnsi="宋体" w:eastAsia="黑体"/>
          <w:b/>
          <w:bCs/>
          <w:szCs w:val="21"/>
        </w:rPr>
      </w:pPr>
      <w:r>
        <w:rPr>
          <w:rFonts w:ascii="黑体" w:hAnsi="宋体" w:eastAsia="黑体"/>
          <w:b/>
          <w:bCs/>
          <w:szCs w:val="21"/>
        </w:rPr>
        <w:t>2 检验依据</w:t>
      </w:r>
    </w:p>
    <w:p>
      <w:pPr>
        <w:snapToGrid w:val="0"/>
        <w:spacing w:line="440" w:lineRule="exact"/>
        <w:ind w:firstLine="420" w:firstLineChars="200"/>
        <w:jc w:val="center"/>
        <w:rPr>
          <w:color w:val="000000"/>
          <w:kern w:val="0"/>
          <w:szCs w:val="21"/>
        </w:rPr>
      </w:pPr>
      <w:r>
        <w:rPr>
          <w:color w:val="000000"/>
          <w:kern w:val="0"/>
          <w:szCs w:val="21"/>
        </w:rPr>
        <w:t>表1  GB/T 19812.1-2017 塑料节水灌溉器材 第1部分：单翼迷宫式滴灌带</w:t>
      </w:r>
    </w:p>
    <w:tbl>
      <w:tblPr>
        <w:tblStyle w:val="10"/>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06"/>
        <w:gridCol w:w="2917"/>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5" w:type="dxa"/>
            <w:vMerge w:val="restart"/>
            <w:vAlign w:val="center"/>
          </w:tcPr>
          <w:p>
            <w:pPr>
              <w:adjustRightInd w:val="0"/>
              <w:snapToGrid w:val="0"/>
              <w:jc w:val="center"/>
              <w:rPr>
                <w:color w:val="000000"/>
                <w:szCs w:val="21"/>
              </w:rPr>
            </w:pPr>
            <w:r>
              <w:rPr>
                <w:color w:val="000000"/>
                <w:szCs w:val="21"/>
              </w:rPr>
              <w:t>序号</w:t>
            </w:r>
          </w:p>
        </w:tc>
        <w:tc>
          <w:tcPr>
            <w:tcW w:w="2206" w:type="dxa"/>
            <w:vMerge w:val="restart"/>
            <w:vAlign w:val="center"/>
          </w:tcPr>
          <w:p>
            <w:pPr>
              <w:adjustRightInd w:val="0"/>
              <w:snapToGrid w:val="0"/>
              <w:jc w:val="center"/>
              <w:rPr>
                <w:color w:val="000000"/>
                <w:szCs w:val="21"/>
              </w:rPr>
            </w:pPr>
            <w:r>
              <w:rPr>
                <w:color w:val="000000"/>
                <w:szCs w:val="21"/>
              </w:rPr>
              <w:t>检验项目</w:t>
            </w:r>
          </w:p>
        </w:tc>
        <w:tc>
          <w:tcPr>
            <w:tcW w:w="2917" w:type="dxa"/>
            <w:vMerge w:val="restart"/>
            <w:vAlign w:val="center"/>
          </w:tcPr>
          <w:p>
            <w:pPr>
              <w:adjustRightInd w:val="0"/>
              <w:snapToGrid w:val="0"/>
              <w:jc w:val="center"/>
              <w:rPr>
                <w:color w:val="000000"/>
                <w:szCs w:val="21"/>
              </w:rPr>
            </w:pPr>
            <w:r>
              <w:rPr>
                <w:bCs/>
                <w:szCs w:val="21"/>
              </w:rPr>
              <w:t>检验依据</w:t>
            </w:r>
          </w:p>
        </w:tc>
        <w:tc>
          <w:tcPr>
            <w:tcW w:w="2470" w:type="dxa"/>
            <w:vMerge w:val="restart"/>
            <w:vAlign w:val="center"/>
          </w:tcPr>
          <w:p>
            <w:pPr>
              <w:adjustRightInd w:val="0"/>
              <w:snapToGrid w:val="0"/>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5" w:type="dxa"/>
            <w:vMerge w:val="continue"/>
            <w:vAlign w:val="center"/>
          </w:tcPr>
          <w:p>
            <w:pPr>
              <w:adjustRightInd w:val="0"/>
              <w:snapToGrid w:val="0"/>
              <w:jc w:val="center"/>
              <w:rPr>
                <w:color w:val="000000"/>
                <w:szCs w:val="21"/>
              </w:rPr>
            </w:pPr>
          </w:p>
        </w:tc>
        <w:tc>
          <w:tcPr>
            <w:tcW w:w="2206" w:type="dxa"/>
            <w:vMerge w:val="continue"/>
            <w:vAlign w:val="center"/>
          </w:tcPr>
          <w:p>
            <w:pPr>
              <w:adjustRightInd w:val="0"/>
              <w:snapToGrid w:val="0"/>
              <w:jc w:val="center"/>
              <w:rPr>
                <w:color w:val="000000"/>
                <w:szCs w:val="21"/>
              </w:rPr>
            </w:pPr>
          </w:p>
        </w:tc>
        <w:tc>
          <w:tcPr>
            <w:tcW w:w="2917" w:type="dxa"/>
            <w:vMerge w:val="continue"/>
            <w:vAlign w:val="center"/>
          </w:tcPr>
          <w:p>
            <w:pPr>
              <w:adjustRightInd w:val="0"/>
              <w:snapToGrid w:val="0"/>
              <w:jc w:val="center"/>
              <w:rPr>
                <w:color w:val="000000"/>
                <w:szCs w:val="21"/>
              </w:rPr>
            </w:pPr>
          </w:p>
        </w:tc>
        <w:tc>
          <w:tcPr>
            <w:tcW w:w="2470" w:type="dxa"/>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vAlign w:val="center"/>
          </w:tcPr>
          <w:p>
            <w:pPr>
              <w:adjustRightInd w:val="0"/>
              <w:snapToGrid w:val="0"/>
              <w:jc w:val="center"/>
              <w:rPr>
                <w:color w:val="000000"/>
                <w:szCs w:val="21"/>
              </w:rPr>
            </w:pPr>
            <w:r>
              <w:rPr>
                <w:color w:val="000000"/>
                <w:szCs w:val="21"/>
              </w:rPr>
              <w:t>1</w:t>
            </w:r>
          </w:p>
        </w:tc>
        <w:tc>
          <w:tcPr>
            <w:tcW w:w="2206" w:type="dxa"/>
            <w:vAlign w:val="center"/>
          </w:tcPr>
          <w:p>
            <w:pPr>
              <w:adjustRightInd w:val="0"/>
              <w:snapToGrid w:val="0"/>
              <w:jc w:val="center"/>
              <w:rPr>
                <w:color w:val="000000"/>
                <w:szCs w:val="21"/>
              </w:rPr>
            </w:pPr>
            <w:r>
              <w:rPr>
                <w:color w:val="000000"/>
                <w:szCs w:val="21"/>
              </w:rPr>
              <w:t>外观</w:t>
            </w:r>
          </w:p>
        </w:tc>
        <w:tc>
          <w:tcPr>
            <w:tcW w:w="2917" w:type="dxa"/>
            <w:vAlign w:val="center"/>
          </w:tcPr>
          <w:p>
            <w:pPr>
              <w:adjustRightInd w:val="0"/>
              <w:snapToGrid w:val="0"/>
              <w:jc w:val="center"/>
              <w:rPr>
                <w:color w:val="000000"/>
                <w:szCs w:val="21"/>
              </w:rPr>
            </w:pPr>
            <w:r>
              <w:rPr>
                <w:color w:val="000000"/>
                <w:szCs w:val="21"/>
              </w:rPr>
              <w:t>GB/T19812.1-2017</w:t>
            </w:r>
          </w:p>
        </w:tc>
        <w:tc>
          <w:tcPr>
            <w:tcW w:w="2470" w:type="dxa"/>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vAlign w:val="center"/>
          </w:tcPr>
          <w:p>
            <w:pPr>
              <w:adjustRightInd w:val="0"/>
              <w:snapToGrid w:val="0"/>
              <w:jc w:val="center"/>
              <w:rPr>
                <w:color w:val="000000"/>
                <w:szCs w:val="21"/>
              </w:rPr>
            </w:pPr>
            <w:r>
              <w:rPr>
                <w:color w:val="000000"/>
                <w:szCs w:val="21"/>
              </w:rPr>
              <w:t>2</w:t>
            </w:r>
          </w:p>
        </w:tc>
        <w:tc>
          <w:tcPr>
            <w:tcW w:w="2206" w:type="dxa"/>
            <w:vAlign w:val="center"/>
          </w:tcPr>
          <w:p>
            <w:pPr>
              <w:adjustRightInd w:val="0"/>
              <w:snapToGrid w:val="0"/>
              <w:jc w:val="center"/>
              <w:rPr>
                <w:color w:val="000000"/>
                <w:szCs w:val="21"/>
              </w:rPr>
            </w:pPr>
            <w:r>
              <w:rPr>
                <w:color w:val="000000"/>
                <w:szCs w:val="21"/>
              </w:rPr>
              <w:t>不透光性</w:t>
            </w:r>
          </w:p>
        </w:tc>
        <w:tc>
          <w:tcPr>
            <w:tcW w:w="2917" w:type="dxa"/>
            <w:vAlign w:val="center"/>
          </w:tcPr>
          <w:p>
            <w:pPr>
              <w:adjustRightInd w:val="0"/>
              <w:snapToGrid w:val="0"/>
              <w:jc w:val="center"/>
              <w:rPr>
                <w:color w:val="000000"/>
                <w:szCs w:val="21"/>
              </w:rPr>
            </w:pPr>
            <w:r>
              <w:rPr>
                <w:color w:val="000000"/>
                <w:szCs w:val="21"/>
              </w:rPr>
              <w:t>GB/T19812.1-2017</w:t>
            </w:r>
          </w:p>
        </w:tc>
        <w:tc>
          <w:tcPr>
            <w:tcW w:w="2470" w:type="dxa"/>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3</w:t>
            </w:r>
          </w:p>
        </w:tc>
        <w:tc>
          <w:tcPr>
            <w:tcW w:w="2206" w:type="dxa"/>
            <w:shd w:val="clear" w:color="auto" w:fill="auto"/>
            <w:vAlign w:val="center"/>
          </w:tcPr>
          <w:p>
            <w:pPr>
              <w:adjustRightInd w:val="0"/>
              <w:snapToGrid w:val="0"/>
              <w:jc w:val="center"/>
              <w:rPr>
                <w:color w:val="000000"/>
                <w:szCs w:val="21"/>
              </w:rPr>
            </w:pPr>
            <w:r>
              <w:rPr>
                <w:color w:val="000000"/>
                <w:szCs w:val="21"/>
              </w:rPr>
              <w:t>内径极限偏差</w:t>
            </w:r>
          </w:p>
        </w:tc>
        <w:tc>
          <w:tcPr>
            <w:tcW w:w="2917" w:type="dxa"/>
            <w:shd w:val="clear" w:color="auto" w:fill="auto"/>
            <w:vAlign w:val="center"/>
          </w:tcPr>
          <w:p>
            <w:pPr>
              <w:adjustRightInd w:val="0"/>
              <w:snapToGrid w:val="0"/>
              <w:jc w:val="center"/>
              <w:rPr>
                <w:color w:val="000000"/>
                <w:szCs w:val="21"/>
              </w:rPr>
            </w:pPr>
            <w:r>
              <w:rPr>
                <w:color w:val="000000"/>
                <w:szCs w:val="21"/>
              </w:rPr>
              <w:t>GB/T19812.1-2017</w:t>
            </w:r>
          </w:p>
        </w:tc>
        <w:tc>
          <w:tcPr>
            <w:tcW w:w="2470" w:type="dxa"/>
            <w:shd w:val="clear" w:color="auto" w:fill="auto"/>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4</w:t>
            </w:r>
          </w:p>
        </w:tc>
        <w:tc>
          <w:tcPr>
            <w:tcW w:w="2206" w:type="dxa"/>
            <w:shd w:val="clear" w:color="auto" w:fill="auto"/>
            <w:vAlign w:val="center"/>
          </w:tcPr>
          <w:p>
            <w:pPr>
              <w:adjustRightInd w:val="0"/>
              <w:snapToGrid w:val="0"/>
              <w:jc w:val="center"/>
              <w:rPr>
                <w:color w:val="000000"/>
                <w:szCs w:val="21"/>
              </w:rPr>
            </w:pPr>
            <w:r>
              <w:rPr>
                <w:color w:val="000000"/>
                <w:szCs w:val="21"/>
              </w:rPr>
              <w:t>壁厚极限偏差</w:t>
            </w:r>
          </w:p>
        </w:tc>
        <w:tc>
          <w:tcPr>
            <w:tcW w:w="2917" w:type="dxa"/>
            <w:shd w:val="clear" w:color="auto" w:fill="auto"/>
            <w:vAlign w:val="center"/>
          </w:tcPr>
          <w:p>
            <w:pPr>
              <w:adjustRightInd w:val="0"/>
              <w:snapToGrid w:val="0"/>
              <w:jc w:val="center"/>
              <w:rPr>
                <w:color w:val="000000"/>
                <w:szCs w:val="21"/>
              </w:rPr>
            </w:pPr>
            <w:r>
              <w:rPr>
                <w:color w:val="000000"/>
                <w:szCs w:val="21"/>
              </w:rPr>
              <w:t>GB/T19812.1-2017</w:t>
            </w:r>
          </w:p>
        </w:tc>
        <w:tc>
          <w:tcPr>
            <w:tcW w:w="2470" w:type="dxa"/>
            <w:shd w:val="clear" w:color="auto" w:fill="auto"/>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5</w:t>
            </w:r>
          </w:p>
        </w:tc>
        <w:tc>
          <w:tcPr>
            <w:tcW w:w="2206" w:type="dxa"/>
            <w:shd w:val="clear" w:color="auto" w:fill="auto"/>
            <w:vAlign w:val="center"/>
          </w:tcPr>
          <w:p>
            <w:pPr>
              <w:adjustRightInd w:val="0"/>
              <w:snapToGrid w:val="0"/>
              <w:jc w:val="center"/>
              <w:rPr>
                <w:color w:val="000000"/>
                <w:szCs w:val="21"/>
              </w:rPr>
            </w:pPr>
            <w:r>
              <w:rPr>
                <w:color w:val="000000"/>
                <w:szCs w:val="21"/>
              </w:rPr>
              <w:t>滴水孔间距偏差率</w:t>
            </w:r>
          </w:p>
        </w:tc>
        <w:tc>
          <w:tcPr>
            <w:tcW w:w="2917" w:type="dxa"/>
            <w:shd w:val="clear" w:color="auto" w:fill="auto"/>
            <w:vAlign w:val="center"/>
          </w:tcPr>
          <w:p>
            <w:pPr>
              <w:adjustRightInd w:val="0"/>
              <w:snapToGrid w:val="0"/>
              <w:jc w:val="center"/>
              <w:rPr>
                <w:color w:val="000000"/>
                <w:szCs w:val="21"/>
              </w:rPr>
            </w:pPr>
            <w:r>
              <w:rPr>
                <w:color w:val="000000"/>
                <w:szCs w:val="21"/>
              </w:rPr>
              <w:t>GB/T19812.1-2017</w:t>
            </w:r>
          </w:p>
        </w:tc>
        <w:tc>
          <w:tcPr>
            <w:tcW w:w="2470" w:type="dxa"/>
            <w:shd w:val="clear" w:color="auto" w:fill="auto"/>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6</w:t>
            </w:r>
          </w:p>
        </w:tc>
        <w:tc>
          <w:tcPr>
            <w:tcW w:w="2206" w:type="dxa"/>
            <w:shd w:val="clear" w:color="auto" w:fill="auto"/>
            <w:vAlign w:val="center"/>
          </w:tcPr>
          <w:p>
            <w:pPr>
              <w:adjustRightInd w:val="0"/>
              <w:snapToGrid w:val="0"/>
              <w:jc w:val="center"/>
              <w:rPr>
                <w:color w:val="000000"/>
                <w:szCs w:val="21"/>
              </w:rPr>
            </w:pPr>
            <w:r>
              <w:rPr>
                <w:color w:val="000000"/>
                <w:szCs w:val="21"/>
              </w:rPr>
              <w:t>流量均匀性</w:t>
            </w:r>
          </w:p>
        </w:tc>
        <w:tc>
          <w:tcPr>
            <w:tcW w:w="2917" w:type="dxa"/>
            <w:shd w:val="clear" w:color="auto" w:fill="auto"/>
            <w:vAlign w:val="center"/>
          </w:tcPr>
          <w:p>
            <w:pPr>
              <w:adjustRightInd w:val="0"/>
              <w:snapToGrid w:val="0"/>
              <w:jc w:val="center"/>
              <w:rPr>
                <w:color w:val="000000"/>
                <w:szCs w:val="21"/>
              </w:rPr>
            </w:pPr>
            <w:r>
              <w:rPr>
                <w:color w:val="000000"/>
                <w:szCs w:val="21"/>
              </w:rPr>
              <w:t>GB/T19812.1-2017</w:t>
            </w:r>
          </w:p>
        </w:tc>
        <w:tc>
          <w:tcPr>
            <w:tcW w:w="2470" w:type="dxa"/>
            <w:shd w:val="clear" w:color="auto" w:fill="auto"/>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7</w:t>
            </w:r>
          </w:p>
        </w:tc>
        <w:tc>
          <w:tcPr>
            <w:tcW w:w="2206" w:type="dxa"/>
            <w:vAlign w:val="center"/>
          </w:tcPr>
          <w:p>
            <w:pPr>
              <w:adjustRightInd w:val="0"/>
              <w:snapToGrid w:val="0"/>
              <w:jc w:val="center"/>
              <w:rPr>
                <w:color w:val="000000"/>
                <w:szCs w:val="21"/>
              </w:rPr>
            </w:pPr>
            <w:r>
              <w:rPr>
                <w:color w:val="000000"/>
                <w:szCs w:val="21"/>
              </w:rPr>
              <w:t>耐水压</w:t>
            </w:r>
          </w:p>
        </w:tc>
        <w:tc>
          <w:tcPr>
            <w:tcW w:w="2917" w:type="dxa"/>
            <w:vAlign w:val="center"/>
          </w:tcPr>
          <w:p>
            <w:pPr>
              <w:adjustRightInd w:val="0"/>
              <w:snapToGrid w:val="0"/>
              <w:jc w:val="center"/>
              <w:rPr>
                <w:color w:val="000000"/>
                <w:szCs w:val="21"/>
              </w:rPr>
            </w:pPr>
            <w:r>
              <w:rPr>
                <w:color w:val="000000"/>
                <w:szCs w:val="21"/>
              </w:rPr>
              <w:t>GB/T19812.1-2017</w:t>
            </w:r>
          </w:p>
        </w:tc>
        <w:tc>
          <w:tcPr>
            <w:tcW w:w="2470" w:type="dxa"/>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8</w:t>
            </w:r>
          </w:p>
        </w:tc>
        <w:tc>
          <w:tcPr>
            <w:tcW w:w="2206" w:type="dxa"/>
            <w:vAlign w:val="center"/>
          </w:tcPr>
          <w:p>
            <w:pPr>
              <w:adjustRightInd w:val="0"/>
              <w:snapToGrid w:val="0"/>
              <w:jc w:val="center"/>
              <w:rPr>
                <w:color w:val="000000"/>
                <w:szCs w:val="21"/>
              </w:rPr>
            </w:pPr>
            <w:r>
              <w:rPr>
                <w:color w:val="000000"/>
                <w:szCs w:val="21"/>
              </w:rPr>
              <w:t>爆破压力</w:t>
            </w:r>
          </w:p>
        </w:tc>
        <w:tc>
          <w:tcPr>
            <w:tcW w:w="2917" w:type="dxa"/>
            <w:vAlign w:val="center"/>
          </w:tcPr>
          <w:p>
            <w:pPr>
              <w:adjustRightInd w:val="0"/>
              <w:snapToGrid w:val="0"/>
              <w:jc w:val="center"/>
              <w:rPr>
                <w:color w:val="000000"/>
                <w:szCs w:val="21"/>
              </w:rPr>
            </w:pPr>
            <w:r>
              <w:rPr>
                <w:color w:val="000000"/>
                <w:szCs w:val="21"/>
              </w:rPr>
              <w:t>GB/T19812.1-2017</w:t>
            </w:r>
          </w:p>
        </w:tc>
        <w:tc>
          <w:tcPr>
            <w:tcW w:w="2470" w:type="dxa"/>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9</w:t>
            </w:r>
          </w:p>
        </w:tc>
        <w:tc>
          <w:tcPr>
            <w:tcW w:w="2206" w:type="dxa"/>
            <w:vAlign w:val="center"/>
          </w:tcPr>
          <w:p>
            <w:pPr>
              <w:adjustRightInd w:val="0"/>
              <w:snapToGrid w:val="0"/>
              <w:jc w:val="center"/>
              <w:rPr>
                <w:color w:val="000000"/>
                <w:szCs w:val="21"/>
              </w:rPr>
            </w:pPr>
            <w:r>
              <w:rPr>
                <w:color w:val="000000"/>
                <w:szCs w:val="21"/>
              </w:rPr>
              <w:t>耐拉拔性能</w:t>
            </w:r>
          </w:p>
        </w:tc>
        <w:tc>
          <w:tcPr>
            <w:tcW w:w="2917" w:type="dxa"/>
            <w:vAlign w:val="center"/>
          </w:tcPr>
          <w:p>
            <w:pPr>
              <w:adjustRightInd w:val="0"/>
              <w:snapToGrid w:val="0"/>
              <w:jc w:val="center"/>
              <w:rPr>
                <w:color w:val="000000"/>
                <w:szCs w:val="21"/>
              </w:rPr>
            </w:pPr>
            <w:r>
              <w:rPr>
                <w:color w:val="000000"/>
                <w:szCs w:val="21"/>
              </w:rPr>
              <w:t>GB/T19812.1-2017</w:t>
            </w:r>
          </w:p>
        </w:tc>
        <w:tc>
          <w:tcPr>
            <w:tcW w:w="2470" w:type="dxa"/>
            <w:vAlign w:val="center"/>
          </w:tcPr>
          <w:p>
            <w:pPr>
              <w:adjustRightInd w:val="0"/>
              <w:snapToGrid w:val="0"/>
              <w:jc w:val="center"/>
              <w:rPr>
                <w:color w:val="000000"/>
                <w:szCs w:val="21"/>
              </w:rPr>
            </w:pPr>
            <w:r>
              <w:rPr>
                <w:color w:val="000000"/>
                <w:szCs w:val="21"/>
              </w:rPr>
              <w:t>GB/T19812.1-2017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10</w:t>
            </w:r>
          </w:p>
        </w:tc>
        <w:tc>
          <w:tcPr>
            <w:tcW w:w="2206" w:type="dxa"/>
            <w:shd w:val="clear" w:color="auto" w:fill="auto"/>
            <w:vAlign w:val="center"/>
          </w:tcPr>
          <w:p>
            <w:pPr>
              <w:adjustRightInd w:val="0"/>
              <w:snapToGrid w:val="0"/>
              <w:jc w:val="center"/>
              <w:rPr>
                <w:color w:val="000000"/>
                <w:szCs w:val="21"/>
              </w:rPr>
            </w:pPr>
            <w:r>
              <w:rPr>
                <w:color w:val="000000"/>
                <w:szCs w:val="21"/>
              </w:rPr>
              <w:t>炭黑含量</w:t>
            </w:r>
          </w:p>
        </w:tc>
        <w:tc>
          <w:tcPr>
            <w:tcW w:w="2917" w:type="dxa"/>
            <w:shd w:val="clear" w:color="auto" w:fill="auto"/>
            <w:vAlign w:val="center"/>
          </w:tcPr>
          <w:p>
            <w:pPr>
              <w:adjustRightInd w:val="0"/>
              <w:snapToGrid w:val="0"/>
              <w:jc w:val="center"/>
              <w:rPr>
                <w:color w:val="000000"/>
                <w:szCs w:val="21"/>
              </w:rPr>
            </w:pPr>
            <w:r>
              <w:rPr>
                <w:color w:val="000000"/>
                <w:szCs w:val="21"/>
              </w:rPr>
              <w:t>GB/T19812.1-2017</w:t>
            </w:r>
          </w:p>
        </w:tc>
        <w:tc>
          <w:tcPr>
            <w:tcW w:w="2470" w:type="dxa"/>
            <w:shd w:val="clear" w:color="auto" w:fill="auto"/>
            <w:vAlign w:val="center"/>
          </w:tcPr>
          <w:p>
            <w:pPr>
              <w:adjustRightInd w:val="0"/>
              <w:snapToGrid w:val="0"/>
              <w:jc w:val="center"/>
              <w:rPr>
                <w:color w:val="000000"/>
                <w:szCs w:val="21"/>
              </w:rPr>
            </w:pPr>
            <w:r>
              <w:rPr>
                <w:color w:val="000000"/>
                <w:szCs w:val="21"/>
              </w:rPr>
              <w:t>GB/T1</w:t>
            </w:r>
            <w:r>
              <w:rPr>
                <w:rFonts w:hint="eastAsia"/>
                <w:color w:val="000000"/>
                <w:szCs w:val="21"/>
              </w:rPr>
              <w:t>3021</w:t>
            </w:r>
            <w:r>
              <w:rPr>
                <w:color w:val="000000"/>
                <w:szCs w:val="21"/>
              </w:rPr>
              <w:t>-</w:t>
            </w:r>
            <w:r>
              <w:rPr>
                <w:rFonts w:hint="eastAsia"/>
                <w:color w:val="000000"/>
                <w:szCs w:val="21"/>
              </w:rPr>
              <w:t>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11</w:t>
            </w:r>
          </w:p>
        </w:tc>
        <w:tc>
          <w:tcPr>
            <w:tcW w:w="2206" w:type="dxa"/>
            <w:vAlign w:val="center"/>
          </w:tcPr>
          <w:p>
            <w:pPr>
              <w:adjustRightInd w:val="0"/>
              <w:snapToGrid w:val="0"/>
              <w:jc w:val="center"/>
              <w:rPr>
                <w:color w:val="000000"/>
                <w:szCs w:val="21"/>
              </w:rPr>
            </w:pPr>
            <w:r>
              <w:rPr>
                <w:color w:val="000000"/>
                <w:szCs w:val="21"/>
              </w:rPr>
              <w:t>炭黑分散</w:t>
            </w:r>
          </w:p>
        </w:tc>
        <w:tc>
          <w:tcPr>
            <w:tcW w:w="2917" w:type="dxa"/>
            <w:vAlign w:val="center"/>
          </w:tcPr>
          <w:p>
            <w:pPr>
              <w:adjustRightInd w:val="0"/>
              <w:snapToGrid w:val="0"/>
              <w:jc w:val="center"/>
              <w:rPr>
                <w:color w:val="000000"/>
                <w:szCs w:val="21"/>
              </w:rPr>
            </w:pPr>
            <w:r>
              <w:rPr>
                <w:color w:val="000000"/>
                <w:szCs w:val="21"/>
              </w:rPr>
              <w:t>GB/T19812.1-2017</w:t>
            </w:r>
          </w:p>
        </w:tc>
        <w:tc>
          <w:tcPr>
            <w:tcW w:w="2470" w:type="dxa"/>
            <w:vAlign w:val="center"/>
          </w:tcPr>
          <w:p>
            <w:pPr>
              <w:adjustRightInd w:val="0"/>
              <w:snapToGrid w:val="0"/>
              <w:jc w:val="center"/>
              <w:rPr>
                <w:color w:val="000000"/>
                <w:szCs w:val="21"/>
              </w:rPr>
            </w:pPr>
            <w:r>
              <w:rPr>
                <w:color w:val="000000"/>
                <w:szCs w:val="21"/>
              </w:rPr>
              <w:t>GB/T 18251-2000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05" w:type="dxa"/>
            <w:shd w:val="clear" w:color="auto" w:fill="auto"/>
            <w:vAlign w:val="center"/>
          </w:tcPr>
          <w:p>
            <w:pPr>
              <w:adjustRightInd w:val="0"/>
              <w:snapToGrid w:val="0"/>
              <w:jc w:val="center"/>
              <w:rPr>
                <w:color w:val="000000"/>
                <w:szCs w:val="21"/>
              </w:rPr>
            </w:pPr>
            <w:r>
              <w:rPr>
                <w:color w:val="000000"/>
                <w:szCs w:val="21"/>
              </w:rPr>
              <w:t>12</w:t>
            </w:r>
          </w:p>
        </w:tc>
        <w:tc>
          <w:tcPr>
            <w:tcW w:w="2206" w:type="dxa"/>
            <w:vAlign w:val="center"/>
          </w:tcPr>
          <w:p>
            <w:pPr>
              <w:adjustRightInd w:val="0"/>
              <w:snapToGrid w:val="0"/>
              <w:jc w:val="center"/>
              <w:rPr>
                <w:color w:val="000000"/>
                <w:szCs w:val="21"/>
              </w:rPr>
            </w:pPr>
            <w:r>
              <w:rPr>
                <w:color w:val="000000"/>
                <w:szCs w:val="21"/>
              </w:rPr>
              <w:t>氧化诱导时间</w:t>
            </w:r>
          </w:p>
        </w:tc>
        <w:tc>
          <w:tcPr>
            <w:tcW w:w="2917" w:type="dxa"/>
            <w:vAlign w:val="center"/>
          </w:tcPr>
          <w:p>
            <w:pPr>
              <w:adjustRightInd w:val="0"/>
              <w:snapToGrid w:val="0"/>
              <w:jc w:val="center"/>
              <w:rPr>
                <w:color w:val="000000"/>
                <w:szCs w:val="21"/>
              </w:rPr>
            </w:pPr>
            <w:r>
              <w:rPr>
                <w:color w:val="000000"/>
                <w:szCs w:val="21"/>
              </w:rPr>
              <w:t>GB/T19812.1-2017</w:t>
            </w:r>
          </w:p>
        </w:tc>
        <w:tc>
          <w:tcPr>
            <w:tcW w:w="2470" w:type="dxa"/>
            <w:vAlign w:val="center"/>
          </w:tcPr>
          <w:p>
            <w:pPr>
              <w:adjustRightInd w:val="0"/>
              <w:snapToGrid w:val="0"/>
              <w:jc w:val="center"/>
              <w:rPr>
                <w:color w:val="000000"/>
                <w:szCs w:val="21"/>
              </w:rPr>
            </w:pPr>
            <w:r>
              <w:rPr>
                <w:color w:val="000000"/>
                <w:szCs w:val="21"/>
              </w:rPr>
              <w:t xml:space="preserve"> GB/T 19466.6-2009</w:t>
            </w:r>
          </w:p>
        </w:tc>
      </w:tr>
    </w:tbl>
    <w:p>
      <w:pPr>
        <w:adjustRightInd w:val="0"/>
        <w:snapToGrid w:val="0"/>
        <w:spacing w:line="300" w:lineRule="exact"/>
        <w:ind w:firstLine="4830" w:firstLineChars="2300"/>
        <w:rPr>
          <w:color w:val="000000"/>
          <w:kern w:val="0"/>
          <w:szCs w:val="21"/>
        </w:rPr>
      </w:pPr>
    </w:p>
    <w:p>
      <w:pPr>
        <w:adjustRightInd w:val="0"/>
        <w:snapToGrid w:val="0"/>
        <w:spacing w:line="300" w:lineRule="exact"/>
        <w:jc w:val="center"/>
        <w:rPr>
          <w:color w:val="000000"/>
          <w:kern w:val="0"/>
          <w:szCs w:val="21"/>
        </w:rPr>
      </w:pPr>
      <w:r>
        <w:rPr>
          <w:color w:val="000000"/>
          <w:kern w:val="0"/>
          <w:szCs w:val="21"/>
        </w:rPr>
        <w:t>表2  GB/T 19812.3-2017 塑料节水灌溉器材 第3部分：内镶式滴灌管及滴灌带</w:t>
      </w:r>
    </w:p>
    <w:tbl>
      <w:tblPr>
        <w:tblStyle w:val="10"/>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05"/>
        <w:gridCol w:w="2886"/>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78" w:type="dxa"/>
            <w:vMerge w:val="restart"/>
            <w:vAlign w:val="center"/>
          </w:tcPr>
          <w:p>
            <w:pPr>
              <w:adjustRightInd w:val="0"/>
              <w:snapToGrid w:val="0"/>
              <w:jc w:val="center"/>
              <w:rPr>
                <w:color w:val="000000"/>
                <w:szCs w:val="21"/>
              </w:rPr>
            </w:pPr>
            <w:r>
              <w:rPr>
                <w:color w:val="000000"/>
                <w:szCs w:val="21"/>
              </w:rPr>
              <w:t>序号</w:t>
            </w:r>
          </w:p>
        </w:tc>
        <w:tc>
          <w:tcPr>
            <w:tcW w:w="2205" w:type="dxa"/>
            <w:vMerge w:val="restart"/>
            <w:vAlign w:val="center"/>
          </w:tcPr>
          <w:p>
            <w:pPr>
              <w:adjustRightInd w:val="0"/>
              <w:snapToGrid w:val="0"/>
              <w:jc w:val="center"/>
              <w:rPr>
                <w:color w:val="000000"/>
                <w:szCs w:val="21"/>
              </w:rPr>
            </w:pPr>
            <w:r>
              <w:rPr>
                <w:color w:val="000000"/>
                <w:szCs w:val="21"/>
              </w:rPr>
              <w:t>检验项目</w:t>
            </w:r>
          </w:p>
        </w:tc>
        <w:tc>
          <w:tcPr>
            <w:tcW w:w="2886" w:type="dxa"/>
            <w:vMerge w:val="restart"/>
            <w:vAlign w:val="center"/>
          </w:tcPr>
          <w:p>
            <w:pPr>
              <w:adjustRightInd w:val="0"/>
              <w:snapToGrid w:val="0"/>
              <w:jc w:val="center"/>
              <w:rPr>
                <w:color w:val="000000"/>
                <w:szCs w:val="21"/>
              </w:rPr>
            </w:pPr>
            <w:r>
              <w:rPr>
                <w:bCs/>
                <w:szCs w:val="21"/>
              </w:rPr>
              <w:t>检验依据</w:t>
            </w:r>
          </w:p>
        </w:tc>
        <w:tc>
          <w:tcPr>
            <w:tcW w:w="2470" w:type="dxa"/>
            <w:vMerge w:val="restart"/>
            <w:vAlign w:val="center"/>
          </w:tcPr>
          <w:p>
            <w:pPr>
              <w:adjustRightInd w:val="0"/>
              <w:snapToGrid w:val="0"/>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78" w:type="dxa"/>
            <w:vMerge w:val="continue"/>
            <w:vAlign w:val="center"/>
          </w:tcPr>
          <w:p>
            <w:pPr>
              <w:adjustRightInd w:val="0"/>
              <w:snapToGrid w:val="0"/>
              <w:jc w:val="center"/>
              <w:rPr>
                <w:color w:val="000000"/>
                <w:szCs w:val="21"/>
              </w:rPr>
            </w:pPr>
          </w:p>
        </w:tc>
        <w:tc>
          <w:tcPr>
            <w:tcW w:w="2205" w:type="dxa"/>
            <w:vMerge w:val="continue"/>
            <w:vAlign w:val="center"/>
          </w:tcPr>
          <w:p>
            <w:pPr>
              <w:adjustRightInd w:val="0"/>
              <w:snapToGrid w:val="0"/>
              <w:jc w:val="center"/>
              <w:rPr>
                <w:color w:val="000000"/>
                <w:szCs w:val="21"/>
              </w:rPr>
            </w:pPr>
          </w:p>
        </w:tc>
        <w:tc>
          <w:tcPr>
            <w:tcW w:w="2886" w:type="dxa"/>
            <w:vMerge w:val="continue"/>
            <w:vAlign w:val="center"/>
          </w:tcPr>
          <w:p>
            <w:pPr>
              <w:adjustRightInd w:val="0"/>
              <w:snapToGrid w:val="0"/>
              <w:jc w:val="center"/>
              <w:rPr>
                <w:color w:val="000000"/>
                <w:szCs w:val="21"/>
              </w:rPr>
            </w:pPr>
          </w:p>
        </w:tc>
        <w:tc>
          <w:tcPr>
            <w:tcW w:w="2470" w:type="dxa"/>
            <w:vMerge w:val="continue"/>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vAlign w:val="center"/>
          </w:tcPr>
          <w:p>
            <w:pPr>
              <w:adjustRightInd w:val="0"/>
              <w:snapToGrid w:val="0"/>
              <w:jc w:val="center"/>
              <w:rPr>
                <w:color w:val="000000"/>
                <w:szCs w:val="21"/>
              </w:rPr>
            </w:pPr>
            <w:r>
              <w:rPr>
                <w:color w:val="000000"/>
                <w:szCs w:val="21"/>
              </w:rPr>
              <w:t>1</w:t>
            </w:r>
          </w:p>
        </w:tc>
        <w:tc>
          <w:tcPr>
            <w:tcW w:w="2205" w:type="dxa"/>
            <w:vAlign w:val="center"/>
          </w:tcPr>
          <w:p>
            <w:pPr>
              <w:adjustRightInd w:val="0"/>
              <w:snapToGrid w:val="0"/>
              <w:jc w:val="center"/>
              <w:rPr>
                <w:color w:val="000000"/>
                <w:szCs w:val="21"/>
              </w:rPr>
            </w:pPr>
            <w:r>
              <w:rPr>
                <w:color w:val="000000"/>
                <w:szCs w:val="21"/>
              </w:rPr>
              <w:t>外观</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vAlign w:val="center"/>
          </w:tcPr>
          <w:p>
            <w:pPr>
              <w:adjustRightInd w:val="0"/>
              <w:snapToGrid w:val="0"/>
              <w:jc w:val="center"/>
              <w:rPr>
                <w:color w:val="000000"/>
                <w:szCs w:val="21"/>
              </w:rPr>
            </w:pPr>
            <w:r>
              <w:rPr>
                <w:color w:val="000000"/>
                <w:szCs w:val="21"/>
              </w:rPr>
              <w:t>2</w:t>
            </w:r>
          </w:p>
        </w:tc>
        <w:tc>
          <w:tcPr>
            <w:tcW w:w="2205" w:type="dxa"/>
            <w:vAlign w:val="center"/>
          </w:tcPr>
          <w:p>
            <w:pPr>
              <w:adjustRightInd w:val="0"/>
              <w:snapToGrid w:val="0"/>
              <w:jc w:val="center"/>
              <w:rPr>
                <w:color w:val="000000"/>
                <w:szCs w:val="21"/>
              </w:rPr>
            </w:pPr>
            <w:r>
              <w:rPr>
                <w:color w:val="000000"/>
                <w:szCs w:val="21"/>
              </w:rPr>
              <w:t>不透光性</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000000"/>
                <w:szCs w:val="21"/>
              </w:rPr>
            </w:pPr>
            <w:r>
              <w:rPr>
                <w:color w:val="000000"/>
                <w:szCs w:val="21"/>
              </w:rPr>
              <w:t>3</w:t>
            </w:r>
          </w:p>
        </w:tc>
        <w:tc>
          <w:tcPr>
            <w:tcW w:w="2205" w:type="dxa"/>
            <w:shd w:val="clear" w:color="auto" w:fill="auto"/>
            <w:vAlign w:val="center"/>
          </w:tcPr>
          <w:p>
            <w:pPr>
              <w:adjustRightInd w:val="0"/>
              <w:snapToGrid w:val="0"/>
              <w:jc w:val="center"/>
              <w:rPr>
                <w:szCs w:val="21"/>
              </w:rPr>
            </w:pPr>
            <w:r>
              <w:rPr>
                <w:szCs w:val="21"/>
              </w:rPr>
              <w:t>内径极限偏差</w:t>
            </w:r>
          </w:p>
        </w:tc>
        <w:tc>
          <w:tcPr>
            <w:tcW w:w="2886" w:type="dxa"/>
            <w:shd w:val="clear" w:color="auto" w:fill="auto"/>
            <w:vAlign w:val="center"/>
          </w:tcPr>
          <w:p>
            <w:pPr>
              <w:adjustRightInd w:val="0"/>
              <w:snapToGrid w:val="0"/>
              <w:jc w:val="center"/>
              <w:rPr>
                <w:szCs w:val="21"/>
              </w:rPr>
            </w:pPr>
            <w:r>
              <w:rPr>
                <w:szCs w:val="21"/>
              </w:rPr>
              <w:t>GB/T19812.3-2017</w:t>
            </w:r>
          </w:p>
        </w:tc>
        <w:tc>
          <w:tcPr>
            <w:tcW w:w="2470" w:type="dxa"/>
            <w:shd w:val="clear" w:color="auto" w:fill="auto"/>
            <w:vAlign w:val="center"/>
          </w:tcPr>
          <w:p>
            <w:pPr>
              <w:adjustRightInd w:val="0"/>
              <w:snapToGrid w:val="0"/>
              <w:jc w:val="center"/>
              <w:rPr>
                <w:szCs w:val="21"/>
              </w:rPr>
            </w:pPr>
            <w:r>
              <w:rPr>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000000"/>
                <w:szCs w:val="21"/>
              </w:rPr>
            </w:pPr>
            <w:r>
              <w:rPr>
                <w:color w:val="000000"/>
                <w:szCs w:val="21"/>
              </w:rPr>
              <w:t>4</w:t>
            </w:r>
          </w:p>
        </w:tc>
        <w:tc>
          <w:tcPr>
            <w:tcW w:w="2205" w:type="dxa"/>
            <w:shd w:val="clear" w:color="auto" w:fill="auto"/>
            <w:vAlign w:val="center"/>
          </w:tcPr>
          <w:p>
            <w:pPr>
              <w:adjustRightInd w:val="0"/>
              <w:snapToGrid w:val="0"/>
              <w:jc w:val="center"/>
              <w:rPr>
                <w:szCs w:val="21"/>
              </w:rPr>
            </w:pPr>
            <w:r>
              <w:rPr>
                <w:szCs w:val="21"/>
              </w:rPr>
              <w:t>壁厚极限偏差</w:t>
            </w:r>
          </w:p>
        </w:tc>
        <w:tc>
          <w:tcPr>
            <w:tcW w:w="2886" w:type="dxa"/>
            <w:shd w:val="clear" w:color="auto" w:fill="auto"/>
            <w:vAlign w:val="center"/>
          </w:tcPr>
          <w:p>
            <w:pPr>
              <w:adjustRightInd w:val="0"/>
              <w:snapToGrid w:val="0"/>
              <w:jc w:val="center"/>
              <w:rPr>
                <w:szCs w:val="21"/>
              </w:rPr>
            </w:pPr>
            <w:r>
              <w:rPr>
                <w:szCs w:val="21"/>
              </w:rPr>
              <w:t>GB/T19812.3-2017</w:t>
            </w:r>
          </w:p>
        </w:tc>
        <w:tc>
          <w:tcPr>
            <w:tcW w:w="2470" w:type="dxa"/>
            <w:shd w:val="clear" w:color="auto" w:fill="auto"/>
            <w:vAlign w:val="center"/>
          </w:tcPr>
          <w:p>
            <w:pPr>
              <w:adjustRightInd w:val="0"/>
              <w:snapToGrid w:val="0"/>
              <w:jc w:val="center"/>
              <w:rPr>
                <w:szCs w:val="21"/>
              </w:rPr>
            </w:pPr>
            <w:r>
              <w:rPr>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000000"/>
                <w:szCs w:val="21"/>
              </w:rPr>
            </w:pPr>
            <w:r>
              <w:rPr>
                <w:color w:val="000000"/>
                <w:szCs w:val="21"/>
              </w:rPr>
              <w:t>5</w:t>
            </w:r>
          </w:p>
        </w:tc>
        <w:tc>
          <w:tcPr>
            <w:tcW w:w="2205" w:type="dxa"/>
            <w:shd w:val="clear" w:color="auto" w:fill="auto"/>
            <w:vAlign w:val="center"/>
          </w:tcPr>
          <w:p>
            <w:pPr>
              <w:adjustRightInd w:val="0"/>
              <w:snapToGrid w:val="0"/>
              <w:jc w:val="center"/>
              <w:rPr>
                <w:color w:val="000000"/>
                <w:szCs w:val="21"/>
              </w:rPr>
            </w:pPr>
            <w:r>
              <w:rPr>
                <w:color w:val="000000"/>
                <w:szCs w:val="21"/>
              </w:rPr>
              <w:t>滴水孔间距偏差率</w:t>
            </w:r>
          </w:p>
        </w:tc>
        <w:tc>
          <w:tcPr>
            <w:tcW w:w="2886" w:type="dxa"/>
            <w:shd w:val="clear" w:color="auto" w:fill="auto"/>
            <w:vAlign w:val="center"/>
          </w:tcPr>
          <w:p>
            <w:pPr>
              <w:adjustRightInd w:val="0"/>
              <w:snapToGrid w:val="0"/>
              <w:jc w:val="center"/>
              <w:rPr>
                <w:color w:val="000000"/>
                <w:szCs w:val="21"/>
              </w:rPr>
            </w:pPr>
            <w:r>
              <w:rPr>
                <w:color w:val="000000"/>
                <w:szCs w:val="21"/>
              </w:rPr>
              <w:t>GB/T19812.3-2017</w:t>
            </w:r>
          </w:p>
        </w:tc>
        <w:tc>
          <w:tcPr>
            <w:tcW w:w="2470" w:type="dxa"/>
            <w:shd w:val="clear" w:color="auto" w:fill="auto"/>
            <w:vAlign w:val="center"/>
          </w:tcPr>
          <w:p>
            <w:pPr>
              <w:adjustRightInd w:val="0"/>
              <w:snapToGrid w:val="0"/>
              <w:jc w:val="center"/>
              <w:rPr>
                <w:color w:val="000000"/>
                <w:szCs w:val="21"/>
              </w:rPr>
            </w:pPr>
            <w:r>
              <w:rPr>
                <w:color w:val="000000"/>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000000"/>
                <w:szCs w:val="21"/>
              </w:rPr>
            </w:pPr>
            <w:r>
              <w:rPr>
                <w:color w:val="000000"/>
                <w:szCs w:val="21"/>
              </w:rPr>
              <w:t>6</w:t>
            </w:r>
          </w:p>
        </w:tc>
        <w:tc>
          <w:tcPr>
            <w:tcW w:w="2205" w:type="dxa"/>
            <w:vAlign w:val="center"/>
          </w:tcPr>
          <w:p>
            <w:pPr>
              <w:adjustRightInd w:val="0"/>
              <w:snapToGrid w:val="0"/>
              <w:jc w:val="center"/>
              <w:rPr>
                <w:color w:val="000000"/>
                <w:szCs w:val="21"/>
              </w:rPr>
            </w:pPr>
            <w:r>
              <w:rPr>
                <w:color w:val="000000"/>
                <w:szCs w:val="21"/>
              </w:rPr>
              <w:t>耐水压</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000000"/>
                <w:szCs w:val="21"/>
              </w:rPr>
            </w:pPr>
            <w:r>
              <w:rPr>
                <w:color w:val="000000"/>
                <w:szCs w:val="21"/>
              </w:rPr>
              <w:t>7</w:t>
            </w:r>
          </w:p>
        </w:tc>
        <w:tc>
          <w:tcPr>
            <w:tcW w:w="2205" w:type="dxa"/>
            <w:vAlign w:val="center"/>
          </w:tcPr>
          <w:p>
            <w:pPr>
              <w:adjustRightInd w:val="0"/>
              <w:snapToGrid w:val="0"/>
              <w:jc w:val="center"/>
              <w:rPr>
                <w:color w:val="000000"/>
                <w:szCs w:val="21"/>
              </w:rPr>
            </w:pPr>
            <w:r>
              <w:rPr>
                <w:color w:val="000000"/>
                <w:szCs w:val="21"/>
              </w:rPr>
              <w:t>爆破压力</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000000"/>
                <w:szCs w:val="21"/>
              </w:rPr>
            </w:pPr>
            <w:r>
              <w:rPr>
                <w:color w:val="000000"/>
                <w:szCs w:val="21"/>
              </w:rPr>
              <w:t>8</w:t>
            </w:r>
          </w:p>
        </w:tc>
        <w:tc>
          <w:tcPr>
            <w:tcW w:w="2205" w:type="dxa"/>
            <w:vAlign w:val="center"/>
          </w:tcPr>
          <w:p>
            <w:pPr>
              <w:adjustRightInd w:val="0"/>
              <w:snapToGrid w:val="0"/>
              <w:jc w:val="center"/>
              <w:rPr>
                <w:color w:val="000000"/>
                <w:szCs w:val="21"/>
              </w:rPr>
            </w:pPr>
            <w:r>
              <w:rPr>
                <w:color w:val="000000"/>
                <w:szCs w:val="21"/>
              </w:rPr>
              <w:t>耐拉拔性能</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000000"/>
                <w:szCs w:val="21"/>
              </w:rPr>
            </w:pPr>
            <w:r>
              <w:rPr>
                <w:color w:val="000000"/>
                <w:szCs w:val="21"/>
              </w:rPr>
              <w:t>9</w:t>
            </w:r>
          </w:p>
        </w:tc>
        <w:tc>
          <w:tcPr>
            <w:tcW w:w="2205" w:type="dxa"/>
            <w:vAlign w:val="center"/>
          </w:tcPr>
          <w:p>
            <w:pPr>
              <w:adjustRightInd w:val="0"/>
              <w:snapToGrid w:val="0"/>
              <w:jc w:val="center"/>
              <w:rPr>
                <w:color w:val="000000"/>
                <w:szCs w:val="21"/>
              </w:rPr>
            </w:pPr>
            <w:r>
              <w:rPr>
                <w:color w:val="000000"/>
                <w:szCs w:val="21"/>
              </w:rPr>
              <w:t>流量均匀性</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000000"/>
                <w:szCs w:val="21"/>
              </w:rPr>
            </w:pPr>
            <w:r>
              <w:rPr>
                <w:color w:val="000000"/>
                <w:szCs w:val="21"/>
              </w:rPr>
              <w:t>10</w:t>
            </w:r>
          </w:p>
        </w:tc>
        <w:tc>
          <w:tcPr>
            <w:tcW w:w="2205" w:type="dxa"/>
            <w:vAlign w:val="center"/>
          </w:tcPr>
          <w:p>
            <w:pPr>
              <w:adjustRightInd w:val="0"/>
              <w:snapToGrid w:val="0"/>
              <w:jc w:val="center"/>
              <w:rPr>
                <w:color w:val="000000"/>
                <w:szCs w:val="21"/>
              </w:rPr>
            </w:pPr>
            <w:r>
              <w:rPr>
                <w:color w:val="000000"/>
                <w:szCs w:val="21"/>
              </w:rPr>
              <w:t>炭黑分散</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 18251-2000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shd w:val="clear" w:color="auto" w:fill="auto"/>
            <w:vAlign w:val="center"/>
          </w:tcPr>
          <w:p>
            <w:pPr>
              <w:adjustRightInd w:val="0"/>
              <w:snapToGrid w:val="0"/>
              <w:jc w:val="center"/>
              <w:rPr>
                <w:color w:val="FF0000"/>
                <w:szCs w:val="21"/>
              </w:rPr>
            </w:pPr>
            <w:r>
              <w:rPr>
                <w:color w:val="000000"/>
                <w:szCs w:val="21"/>
              </w:rPr>
              <w:t>11</w:t>
            </w:r>
          </w:p>
        </w:tc>
        <w:tc>
          <w:tcPr>
            <w:tcW w:w="2205" w:type="dxa"/>
            <w:vAlign w:val="center"/>
          </w:tcPr>
          <w:p>
            <w:pPr>
              <w:adjustRightInd w:val="0"/>
              <w:snapToGrid w:val="0"/>
              <w:jc w:val="center"/>
              <w:rPr>
                <w:color w:val="000000"/>
                <w:szCs w:val="21"/>
              </w:rPr>
            </w:pPr>
            <w:r>
              <w:rPr>
                <w:color w:val="000000"/>
                <w:szCs w:val="21"/>
              </w:rPr>
              <w:t>氧化诱导时间</w:t>
            </w:r>
            <w:r>
              <w:rPr>
                <w:rFonts w:hint="eastAsia"/>
                <w:szCs w:val="21"/>
                <w:vertAlign w:val="superscript"/>
              </w:rPr>
              <w:t>a</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 19466.6-2009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8" w:type="dxa"/>
            <w:vAlign w:val="center"/>
          </w:tcPr>
          <w:p>
            <w:pPr>
              <w:adjustRightInd w:val="0"/>
              <w:snapToGrid w:val="0"/>
              <w:jc w:val="center"/>
              <w:rPr>
                <w:color w:val="000000"/>
                <w:szCs w:val="21"/>
              </w:rPr>
            </w:pPr>
            <w:r>
              <w:rPr>
                <w:color w:val="000000"/>
                <w:szCs w:val="21"/>
              </w:rPr>
              <w:t>12</w:t>
            </w:r>
          </w:p>
        </w:tc>
        <w:tc>
          <w:tcPr>
            <w:tcW w:w="2205" w:type="dxa"/>
            <w:vAlign w:val="center"/>
          </w:tcPr>
          <w:p>
            <w:pPr>
              <w:adjustRightInd w:val="0"/>
              <w:snapToGrid w:val="0"/>
              <w:jc w:val="center"/>
              <w:rPr>
                <w:color w:val="000000"/>
                <w:szCs w:val="21"/>
              </w:rPr>
            </w:pPr>
            <w:r>
              <w:rPr>
                <w:color w:val="000000"/>
                <w:szCs w:val="21"/>
              </w:rPr>
              <w:t>炭黑含量</w:t>
            </w:r>
          </w:p>
        </w:tc>
        <w:tc>
          <w:tcPr>
            <w:tcW w:w="2886" w:type="dxa"/>
            <w:vAlign w:val="center"/>
          </w:tcPr>
          <w:p>
            <w:pPr>
              <w:adjustRightInd w:val="0"/>
              <w:snapToGrid w:val="0"/>
              <w:jc w:val="center"/>
              <w:rPr>
                <w:color w:val="000000"/>
                <w:szCs w:val="21"/>
              </w:rPr>
            </w:pPr>
            <w:r>
              <w:rPr>
                <w:color w:val="000000"/>
                <w:szCs w:val="21"/>
              </w:rPr>
              <w:t>GB/T19812.3-2017</w:t>
            </w:r>
          </w:p>
        </w:tc>
        <w:tc>
          <w:tcPr>
            <w:tcW w:w="2470" w:type="dxa"/>
            <w:vAlign w:val="center"/>
          </w:tcPr>
          <w:p>
            <w:pPr>
              <w:adjustRightInd w:val="0"/>
              <w:snapToGrid w:val="0"/>
              <w:jc w:val="center"/>
              <w:rPr>
                <w:color w:val="000000"/>
                <w:szCs w:val="21"/>
              </w:rPr>
            </w:pPr>
            <w:r>
              <w:rPr>
                <w:color w:val="000000"/>
                <w:szCs w:val="21"/>
              </w:rPr>
              <w:t>GB/T1</w:t>
            </w:r>
            <w:r>
              <w:rPr>
                <w:rFonts w:hint="eastAsia"/>
                <w:color w:val="000000"/>
                <w:szCs w:val="21"/>
              </w:rPr>
              <w:t>3021</w:t>
            </w:r>
            <w:r>
              <w:rPr>
                <w:color w:val="000000"/>
                <w:szCs w:val="21"/>
              </w:rPr>
              <w:t>-</w:t>
            </w:r>
            <w:r>
              <w:rPr>
                <w:rFonts w:hint="eastAsia"/>
                <w:color w:val="000000"/>
                <w:szCs w:val="21"/>
              </w:rPr>
              <w:t>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39" w:type="dxa"/>
            <w:gridSpan w:val="4"/>
            <w:vAlign w:val="center"/>
          </w:tcPr>
          <w:p>
            <w:pPr>
              <w:adjustRightInd w:val="0"/>
              <w:snapToGrid w:val="0"/>
              <w:ind w:firstLine="210" w:firstLineChars="100"/>
              <w:jc w:val="left"/>
              <w:rPr>
                <w:szCs w:val="21"/>
              </w:rPr>
            </w:pPr>
            <w:r>
              <w:rPr>
                <w:rFonts w:hint="eastAsia"/>
                <w:color w:val="000000"/>
                <w:szCs w:val="21"/>
              </w:rPr>
              <w:t>注a：</w:t>
            </w:r>
            <w:r>
              <w:rPr>
                <w:rFonts w:hint="eastAsia" w:ascii="宋体" w:hAnsi="宋体" w:cs="宋体"/>
                <w:color w:val="000000"/>
                <w:kern w:val="0"/>
                <w:sz w:val="20"/>
              </w:rPr>
              <w:t>适用于复用型内镶式滴灌带。</w:t>
            </w:r>
          </w:p>
        </w:tc>
      </w:tr>
    </w:tbl>
    <w:p>
      <w:pPr>
        <w:adjustRightInd w:val="0"/>
        <w:snapToGrid w:val="0"/>
        <w:spacing w:line="360" w:lineRule="auto"/>
        <w:ind w:firstLine="420" w:firstLineChars="200"/>
        <w:rPr>
          <w:color w:val="000000"/>
          <w:szCs w:val="21"/>
        </w:rPr>
      </w:pPr>
      <w:r>
        <w:rPr>
          <w:color w:val="000000"/>
          <w:szCs w:val="21"/>
        </w:rPr>
        <w:t>执行企业标准、团体标准、地方标准的产品，检验项目参照上述内容执行。</w:t>
      </w:r>
    </w:p>
    <w:p>
      <w:pPr>
        <w:adjustRightInd w:val="0"/>
        <w:snapToGrid w:val="0"/>
        <w:spacing w:line="360" w:lineRule="auto"/>
        <w:ind w:firstLine="403" w:firstLineChars="192"/>
        <w:rPr>
          <w:color w:val="000000"/>
          <w:szCs w:val="21"/>
        </w:rPr>
      </w:pPr>
      <w:r>
        <w:rPr>
          <w:color w:val="000000"/>
          <w:szCs w:val="21"/>
        </w:rPr>
        <w:t>凡是注日期的文件，其随后所有的修改单（不包括勘误的内容）或修订版不适用于本细则。凡是不注日期的文件，其最新版本适用于本细则。</w:t>
      </w:r>
    </w:p>
    <w:p>
      <w:pPr>
        <w:snapToGrid w:val="0"/>
        <w:spacing w:line="440" w:lineRule="exact"/>
        <w:rPr>
          <w:rFonts w:eastAsia="黑体"/>
          <w:b/>
          <w:bCs/>
          <w:szCs w:val="21"/>
        </w:rPr>
      </w:pPr>
      <w:r>
        <w:rPr>
          <w:rFonts w:eastAsia="黑体"/>
          <w:b/>
          <w:bCs/>
          <w:szCs w:val="21"/>
        </w:rPr>
        <w:t>3 判定规则</w:t>
      </w:r>
    </w:p>
    <w:p>
      <w:pPr>
        <w:snapToGrid w:val="0"/>
        <w:spacing w:line="440" w:lineRule="exact"/>
        <w:rPr>
          <w:b/>
          <w:bCs/>
          <w:szCs w:val="21"/>
        </w:rPr>
      </w:pPr>
      <w:r>
        <w:rPr>
          <w:b/>
          <w:bCs/>
          <w:szCs w:val="21"/>
        </w:rPr>
        <w:t>3.1依据标准</w:t>
      </w:r>
    </w:p>
    <w:p>
      <w:pPr>
        <w:snapToGrid w:val="0"/>
        <w:spacing w:line="440" w:lineRule="exact"/>
        <w:ind w:firstLine="420" w:firstLineChars="200"/>
        <w:rPr>
          <w:szCs w:val="21"/>
        </w:rPr>
      </w:pPr>
      <w:r>
        <w:rPr>
          <w:szCs w:val="21"/>
        </w:rPr>
        <w:t>GB/T 19812.1-2017 塑料节水灌溉器材 第1部分：单翼迷宫式滴灌带</w:t>
      </w:r>
    </w:p>
    <w:p>
      <w:pPr>
        <w:snapToGrid w:val="0"/>
        <w:spacing w:line="440" w:lineRule="exact"/>
        <w:ind w:firstLine="420" w:firstLineChars="200"/>
        <w:rPr>
          <w:szCs w:val="21"/>
        </w:rPr>
      </w:pPr>
      <w:r>
        <w:rPr>
          <w:szCs w:val="21"/>
        </w:rPr>
        <w:t>GB/T 19812.3-2017 塑料节水灌溉器材 第3部分：内镶式滴灌管及滴灌带</w:t>
      </w:r>
    </w:p>
    <w:p>
      <w:pPr>
        <w:snapToGrid w:val="0"/>
        <w:spacing w:line="440" w:lineRule="exact"/>
        <w:ind w:firstLine="420" w:firstLineChars="200"/>
        <w:rPr>
          <w:szCs w:val="21"/>
        </w:rPr>
      </w:pPr>
      <w:r>
        <w:rPr>
          <w:szCs w:val="21"/>
        </w:rPr>
        <w:t>现行有效的企业标准、团体标准、地方标准及产品明示质量要求。</w:t>
      </w:r>
    </w:p>
    <w:p>
      <w:pPr>
        <w:snapToGrid w:val="0"/>
        <w:spacing w:line="440" w:lineRule="exact"/>
        <w:rPr>
          <w:b/>
          <w:bCs/>
          <w:szCs w:val="21"/>
        </w:rPr>
      </w:pPr>
      <w:r>
        <w:rPr>
          <w:b/>
          <w:bCs/>
          <w:szCs w:val="21"/>
        </w:rPr>
        <w:t>3.2 判定原则</w:t>
      </w:r>
    </w:p>
    <w:p>
      <w:pPr>
        <w:snapToGrid w:val="0"/>
        <w:spacing w:line="440" w:lineRule="exact"/>
        <w:ind w:firstLine="420" w:firstLineChars="200"/>
        <w:rPr>
          <w:szCs w:val="21"/>
        </w:rPr>
      </w:pPr>
      <w:r>
        <w:rPr>
          <w:szCs w:val="21"/>
        </w:rPr>
        <w:t>经检验，检验项目全部合格，判定为被抽查产品未发现不合格；检验项目中任一项或一项以上不合格，判定为被抽査产品不合格。</w:t>
      </w:r>
    </w:p>
    <w:p>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若被检产品明示的质量要求缺少本细则中检验项目依据的强制性标淮要求时，应按照强制性标准要求判定</w:t>
      </w:r>
    </w:p>
    <w:p>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若被检产品明示的质量要求缺少本细则中检验项目依据的推荐性标准要求时。该项目不参与判定，但应在检验报告备注中进行说明。</w:t>
      </w:r>
    </w:p>
    <w:p>
      <w:pPr>
        <w:adjustRightInd w:val="0"/>
        <w:snapToGrid w:val="0"/>
        <w:spacing w:line="360" w:lineRule="auto"/>
        <w:ind w:firstLine="420" w:firstLineChars="200"/>
      </w:pPr>
      <w:r>
        <w:rPr>
          <w:kern w:val="0"/>
          <w:szCs w:val="21"/>
        </w:rPr>
        <w:pict>
          <v:line id="直线 4" o:spid="_x0000_s1027" o:spt="20" style="position:absolute;left:0pt;margin-left:137.7pt;margin-top:16.65pt;height:0pt;width:153pt;mso-position-horizontal-relative:margin;z-index:251661312;mso-width-relative:page;mso-height-relative:page;" coordsize="21600,21600" o:gfxdata="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5fBXWAAAACQEAAA8AAAAAAAAAAQAg&#10;AAAAIgAAAGRycy9kb3ducmV2LnhtbFBLAQIUABQAAAAIAIdO4kAZWEYt1wEAAKEDAAAOAAAAAAAA&#10;AAEAIAAAACUBAABkcnMvZTJvRG9jLnhtbFBLBQYAAAAABgAGAFkBAABuBQAAAAA=&#10;">
            <v:path arrowok="t"/>
            <v:fill focussize="0,0"/>
            <v:stroke/>
            <v:imagedata o:title=""/>
            <o:lock v:ext="edit"/>
          </v:lin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yNWNjYTM0ZWY4YTY1ZGZlN2VkY2IyOGExMjRhODgifQ=="/>
  </w:docVars>
  <w:rsids>
    <w:rsidRoot w:val="00F07E3A"/>
    <w:rsid w:val="00003A02"/>
    <w:rsid w:val="00026D22"/>
    <w:rsid w:val="000802ED"/>
    <w:rsid w:val="000A43A4"/>
    <w:rsid w:val="000E53D8"/>
    <w:rsid w:val="000F0961"/>
    <w:rsid w:val="00130D19"/>
    <w:rsid w:val="00131D6F"/>
    <w:rsid w:val="00136C80"/>
    <w:rsid w:val="001468BE"/>
    <w:rsid w:val="00163F58"/>
    <w:rsid w:val="00186F4C"/>
    <w:rsid w:val="001966A2"/>
    <w:rsid w:val="001B3401"/>
    <w:rsid w:val="001C00C0"/>
    <w:rsid w:val="001D2F5B"/>
    <w:rsid w:val="001D31E0"/>
    <w:rsid w:val="001E17C1"/>
    <w:rsid w:val="00205454"/>
    <w:rsid w:val="00212DF0"/>
    <w:rsid w:val="002203D6"/>
    <w:rsid w:val="00247F51"/>
    <w:rsid w:val="002C0672"/>
    <w:rsid w:val="002D22C1"/>
    <w:rsid w:val="002D4649"/>
    <w:rsid w:val="002E2C1A"/>
    <w:rsid w:val="002F56DA"/>
    <w:rsid w:val="0030368F"/>
    <w:rsid w:val="00307674"/>
    <w:rsid w:val="00324EBB"/>
    <w:rsid w:val="00341B91"/>
    <w:rsid w:val="003525EE"/>
    <w:rsid w:val="003761D3"/>
    <w:rsid w:val="00384D07"/>
    <w:rsid w:val="00393E13"/>
    <w:rsid w:val="003C0C7C"/>
    <w:rsid w:val="003D19BC"/>
    <w:rsid w:val="003E54B5"/>
    <w:rsid w:val="003F2CC8"/>
    <w:rsid w:val="003F2ECF"/>
    <w:rsid w:val="003F6C3C"/>
    <w:rsid w:val="004162BD"/>
    <w:rsid w:val="004246BD"/>
    <w:rsid w:val="00441B7D"/>
    <w:rsid w:val="0048464A"/>
    <w:rsid w:val="00491319"/>
    <w:rsid w:val="004B6BB3"/>
    <w:rsid w:val="004C320B"/>
    <w:rsid w:val="004C3BF8"/>
    <w:rsid w:val="004D0498"/>
    <w:rsid w:val="004D1741"/>
    <w:rsid w:val="005032E5"/>
    <w:rsid w:val="005052F8"/>
    <w:rsid w:val="005151C5"/>
    <w:rsid w:val="00520BC7"/>
    <w:rsid w:val="00580C17"/>
    <w:rsid w:val="005840C6"/>
    <w:rsid w:val="005900DF"/>
    <w:rsid w:val="005A1042"/>
    <w:rsid w:val="005C1D4A"/>
    <w:rsid w:val="005C579C"/>
    <w:rsid w:val="005E0BB4"/>
    <w:rsid w:val="005F5925"/>
    <w:rsid w:val="005F6AB5"/>
    <w:rsid w:val="00600795"/>
    <w:rsid w:val="006070B2"/>
    <w:rsid w:val="006106A7"/>
    <w:rsid w:val="0063534D"/>
    <w:rsid w:val="00660C1F"/>
    <w:rsid w:val="0066707E"/>
    <w:rsid w:val="00680E03"/>
    <w:rsid w:val="006923D1"/>
    <w:rsid w:val="006C6384"/>
    <w:rsid w:val="007371DF"/>
    <w:rsid w:val="007538C4"/>
    <w:rsid w:val="00763508"/>
    <w:rsid w:val="007A4DA7"/>
    <w:rsid w:val="007E3BC9"/>
    <w:rsid w:val="007E4267"/>
    <w:rsid w:val="007E77FA"/>
    <w:rsid w:val="007F17CB"/>
    <w:rsid w:val="00805E18"/>
    <w:rsid w:val="00824895"/>
    <w:rsid w:val="00825EFB"/>
    <w:rsid w:val="00836AB6"/>
    <w:rsid w:val="008714F6"/>
    <w:rsid w:val="00876A15"/>
    <w:rsid w:val="008B3DA1"/>
    <w:rsid w:val="008D01AC"/>
    <w:rsid w:val="008D1D85"/>
    <w:rsid w:val="008D7FA9"/>
    <w:rsid w:val="008E40CE"/>
    <w:rsid w:val="0094697B"/>
    <w:rsid w:val="00947DB9"/>
    <w:rsid w:val="0095354F"/>
    <w:rsid w:val="0098086A"/>
    <w:rsid w:val="00980B91"/>
    <w:rsid w:val="00983E59"/>
    <w:rsid w:val="009918B6"/>
    <w:rsid w:val="00995D54"/>
    <w:rsid w:val="009A2D5B"/>
    <w:rsid w:val="009B075A"/>
    <w:rsid w:val="009D6A1B"/>
    <w:rsid w:val="009E0B36"/>
    <w:rsid w:val="00A0235B"/>
    <w:rsid w:val="00A159C6"/>
    <w:rsid w:val="00A3237D"/>
    <w:rsid w:val="00A345F6"/>
    <w:rsid w:val="00A506E4"/>
    <w:rsid w:val="00A67037"/>
    <w:rsid w:val="00A70511"/>
    <w:rsid w:val="00A758A5"/>
    <w:rsid w:val="00A94A9C"/>
    <w:rsid w:val="00A974E7"/>
    <w:rsid w:val="00AA40B7"/>
    <w:rsid w:val="00AC46B8"/>
    <w:rsid w:val="00AD6450"/>
    <w:rsid w:val="00AD7558"/>
    <w:rsid w:val="00AF01F9"/>
    <w:rsid w:val="00B0121D"/>
    <w:rsid w:val="00B051C5"/>
    <w:rsid w:val="00B07E34"/>
    <w:rsid w:val="00B22CE4"/>
    <w:rsid w:val="00B42944"/>
    <w:rsid w:val="00B4678C"/>
    <w:rsid w:val="00B52D5A"/>
    <w:rsid w:val="00B6029C"/>
    <w:rsid w:val="00B73A08"/>
    <w:rsid w:val="00B80A09"/>
    <w:rsid w:val="00B83E56"/>
    <w:rsid w:val="00B84F1B"/>
    <w:rsid w:val="00B96645"/>
    <w:rsid w:val="00BA3665"/>
    <w:rsid w:val="00BB45E7"/>
    <w:rsid w:val="00BC321B"/>
    <w:rsid w:val="00BD4224"/>
    <w:rsid w:val="00C11D14"/>
    <w:rsid w:val="00C17CD4"/>
    <w:rsid w:val="00C414AA"/>
    <w:rsid w:val="00C4556B"/>
    <w:rsid w:val="00C51ABE"/>
    <w:rsid w:val="00C72138"/>
    <w:rsid w:val="00C93EE0"/>
    <w:rsid w:val="00C95030"/>
    <w:rsid w:val="00CB27B4"/>
    <w:rsid w:val="00CE478E"/>
    <w:rsid w:val="00D048FA"/>
    <w:rsid w:val="00D139A0"/>
    <w:rsid w:val="00D21DB1"/>
    <w:rsid w:val="00D3721F"/>
    <w:rsid w:val="00D717DA"/>
    <w:rsid w:val="00DA619A"/>
    <w:rsid w:val="00DB00F9"/>
    <w:rsid w:val="00DC5FB2"/>
    <w:rsid w:val="00DD1CCC"/>
    <w:rsid w:val="00DD4B5B"/>
    <w:rsid w:val="00DE607C"/>
    <w:rsid w:val="00E052BA"/>
    <w:rsid w:val="00E13E9A"/>
    <w:rsid w:val="00E337E0"/>
    <w:rsid w:val="00E413B5"/>
    <w:rsid w:val="00E47DFC"/>
    <w:rsid w:val="00E81BAF"/>
    <w:rsid w:val="00E8382D"/>
    <w:rsid w:val="00E85353"/>
    <w:rsid w:val="00EA114F"/>
    <w:rsid w:val="00EB367E"/>
    <w:rsid w:val="00EB4824"/>
    <w:rsid w:val="00EB66A4"/>
    <w:rsid w:val="00EC06EA"/>
    <w:rsid w:val="00EF1050"/>
    <w:rsid w:val="00F07E3A"/>
    <w:rsid w:val="00F17BF2"/>
    <w:rsid w:val="00F26B1E"/>
    <w:rsid w:val="00F300A5"/>
    <w:rsid w:val="00F74788"/>
    <w:rsid w:val="00FA7C4A"/>
    <w:rsid w:val="00FB579A"/>
    <w:rsid w:val="00FC6E34"/>
    <w:rsid w:val="00FD0F04"/>
    <w:rsid w:val="00FD493B"/>
    <w:rsid w:val="00FD70F0"/>
    <w:rsid w:val="00FF06E1"/>
    <w:rsid w:val="00FF3C49"/>
    <w:rsid w:val="00FF4DC0"/>
    <w:rsid w:val="02E07AF8"/>
    <w:rsid w:val="05DB66F5"/>
    <w:rsid w:val="06D03D80"/>
    <w:rsid w:val="074106D5"/>
    <w:rsid w:val="09184EC5"/>
    <w:rsid w:val="09B07E99"/>
    <w:rsid w:val="0A634F0B"/>
    <w:rsid w:val="0AA67854"/>
    <w:rsid w:val="0AD73AE8"/>
    <w:rsid w:val="0F144A26"/>
    <w:rsid w:val="147736C0"/>
    <w:rsid w:val="14A705B4"/>
    <w:rsid w:val="165318AE"/>
    <w:rsid w:val="16AC39FC"/>
    <w:rsid w:val="18D25736"/>
    <w:rsid w:val="197B5DAF"/>
    <w:rsid w:val="1ADF413A"/>
    <w:rsid w:val="1DA82F09"/>
    <w:rsid w:val="21B55432"/>
    <w:rsid w:val="238A1337"/>
    <w:rsid w:val="23B5012E"/>
    <w:rsid w:val="23BF7131"/>
    <w:rsid w:val="24D43A99"/>
    <w:rsid w:val="27A850E4"/>
    <w:rsid w:val="2AEA199B"/>
    <w:rsid w:val="2C016606"/>
    <w:rsid w:val="2CE33F5E"/>
    <w:rsid w:val="2E953036"/>
    <w:rsid w:val="306C7A3A"/>
    <w:rsid w:val="30F14433"/>
    <w:rsid w:val="32130E41"/>
    <w:rsid w:val="32327383"/>
    <w:rsid w:val="33DF0372"/>
    <w:rsid w:val="37381997"/>
    <w:rsid w:val="385823C2"/>
    <w:rsid w:val="39F2758E"/>
    <w:rsid w:val="3B092A54"/>
    <w:rsid w:val="3BF7C766"/>
    <w:rsid w:val="3DA067D1"/>
    <w:rsid w:val="3E5500EC"/>
    <w:rsid w:val="3ECD34FD"/>
    <w:rsid w:val="3FA87B36"/>
    <w:rsid w:val="3FBE28D5"/>
    <w:rsid w:val="4004305D"/>
    <w:rsid w:val="44A3753E"/>
    <w:rsid w:val="47A469CD"/>
    <w:rsid w:val="4ACA0DE0"/>
    <w:rsid w:val="4B920BD1"/>
    <w:rsid w:val="4D111BFE"/>
    <w:rsid w:val="518B234A"/>
    <w:rsid w:val="533D58C6"/>
    <w:rsid w:val="536D484A"/>
    <w:rsid w:val="53834129"/>
    <w:rsid w:val="540461B3"/>
    <w:rsid w:val="546D5D37"/>
    <w:rsid w:val="5A8B27FC"/>
    <w:rsid w:val="5BFA5BC9"/>
    <w:rsid w:val="5D3E05CF"/>
    <w:rsid w:val="609D1D6E"/>
    <w:rsid w:val="60E83E09"/>
    <w:rsid w:val="645867D4"/>
    <w:rsid w:val="6AFDD507"/>
    <w:rsid w:val="6B3E3AFD"/>
    <w:rsid w:val="6E981DB5"/>
    <w:rsid w:val="6F32211D"/>
    <w:rsid w:val="711C0290"/>
    <w:rsid w:val="73DE29EE"/>
    <w:rsid w:val="752F75C3"/>
    <w:rsid w:val="754D2BA4"/>
    <w:rsid w:val="770025E3"/>
    <w:rsid w:val="78AE5097"/>
    <w:rsid w:val="79E518D9"/>
    <w:rsid w:val="79F006ED"/>
    <w:rsid w:val="7BCD466C"/>
    <w:rsid w:val="7BFFFDCE"/>
    <w:rsid w:val="7D696C85"/>
    <w:rsid w:val="7E46077C"/>
    <w:rsid w:val="7EF50554"/>
    <w:rsid w:val="BCE584D7"/>
    <w:rsid w:val="DE4B5592"/>
    <w:rsid w:val="F37F5C87"/>
    <w:rsid w:val="F9537627"/>
    <w:rsid w:val="FFF70BF9"/>
    <w:rsid w:val="FFFF02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5"/>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7"/>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3 Char"/>
    <w:basedOn w:val="11"/>
    <w:link w:val="8"/>
    <w:qFormat/>
    <w:uiPriority w:val="0"/>
    <w:rPr>
      <w:rFonts w:ascii="仿宋_GB2312" w:hAnsi="Times New Roman" w:eastAsia="仿宋_GB2312" w:cs="Times New Roman"/>
      <w:kern w:val="0"/>
      <w:sz w:val="32"/>
      <w:szCs w:val="20"/>
    </w:rPr>
  </w:style>
  <w:style w:type="character" w:customStyle="1" w:styleId="16">
    <w:name w:val="批注文字 Char"/>
    <w:basedOn w:val="11"/>
    <w:link w:val="3"/>
    <w:semiHidden/>
    <w:qFormat/>
    <w:uiPriority w:val="99"/>
    <w:rPr>
      <w:rFonts w:ascii="Times New Roman" w:hAnsi="Times New Roman" w:eastAsia="宋体" w:cs="Times New Roman"/>
      <w:szCs w:val="20"/>
    </w:rPr>
  </w:style>
  <w:style w:type="character" w:customStyle="1" w:styleId="17">
    <w:name w:val="批注主题 Char"/>
    <w:basedOn w:val="16"/>
    <w:link w:val="9"/>
    <w:semiHidden/>
    <w:qFormat/>
    <w:uiPriority w:val="99"/>
    <w:rPr>
      <w:rFonts w:ascii="Times New Roman" w:hAnsi="Times New Roman" w:eastAsia="宋体" w:cs="Times New Roman"/>
      <w:b/>
      <w:bCs/>
      <w:szCs w:val="20"/>
    </w:rPr>
  </w:style>
  <w:style w:type="character" w:customStyle="1" w:styleId="18">
    <w:name w:val="批注框文本 Char"/>
    <w:basedOn w:val="11"/>
    <w:link w:val="5"/>
    <w:semiHidden/>
    <w:qFormat/>
    <w:uiPriority w:val="99"/>
    <w:rPr>
      <w:rFonts w:ascii="Times New Roman" w:hAnsi="Times New Roman" w:eastAsia="宋体" w:cs="Times New Roman"/>
      <w:sz w:val="18"/>
      <w:szCs w:val="18"/>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日期 Char"/>
    <w:basedOn w:val="11"/>
    <w:link w:val="4"/>
    <w:semiHidden/>
    <w:qFormat/>
    <w:uiPriority w:val="99"/>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310</Words>
  <Characters>1771</Characters>
  <Lines>14</Lines>
  <Paragraphs>4</Paragraphs>
  <TotalTime>15</TotalTime>
  <ScaleCrop>false</ScaleCrop>
  <LinksUpToDate>false</LinksUpToDate>
  <CharactersWithSpaces>2077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2021-07-02T20:22:00Z</dcterms:created>
  <dc:creator>lzk</dc:creator>
  <cp:lastModifiedBy> </cp:lastModifiedBy>
  <cp:lastPrinted>2026-04-14T09:09:00Z</cp:lastPrinted>
  <dcterms:modified xsi:type="dcterms:W3CDTF">2026-06-03T11:48:58Z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37DB0AF88A324FC79333F924FB53BB9A</vt:lpwstr>
  </property>
  <property fmtid="{D5CDD505-2E9C-101B-9397-08002B2CF9AE}" pid="4" name="KSOTemplateDocerSaveRecord">
    <vt:lpwstr>eyJoZGlkIjoiZjMyNWNjYTM0ZWY4YTY1ZGZlN2VkY2IyOGExMjRhODgiLCJ1c2VySWQiOiI0MTkwMTczMDkifQ==</vt:lpwstr>
  </property>
</Properties>
</file>