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bottom w:val="single" w:color="auto" w:sz="4" w:space="0"/>
        </w:pBdr>
        <w:spacing w:line="480" w:lineRule="exact"/>
        <w:jc w:val="center"/>
        <w:rPr>
          <w:rFonts w:ascii="黑体" w:hAnsi="宋体" w:eastAsia="黑体"/>
          <w:bCs/>
          <w:spacing w:val="20"/>
          <w:w w:val="105"/>
          <w:sz w:val="44"/>
          <w:szCs w:val="44"/>
        </w:rPr>
      </w:pPr>
      <w:r>
        <w:rPr>
          <w:rFonts w:hint="eastAsia" w:ascii="黑体" w:hAnsi="宋体" w:eastAsia="黑体"/>
          <w:bCs/>
          <w:spacing w:val="20"/>
          <w:w w:val="105"/>
          <w:sz w:val="44"/>
          <w:szCs w:val="44"/>
        </w:rPr>
        <w:t>产品质量监督抽查实施细则</w:t>
      </w:r>
    </w:p>
    <w:p>
      <w:pPr>
        <w:spacing w:line="480" w:lineRule="exact"/>
        <w:jc w:val="center"/>
        <w:rPr>
          <w:rFonts w:ascii="黑体" w:hAnsi="宋体" w:eastAsia="黑体"/>
          <w:b/>
          <w:spacing w:val="20"/>
          <w:w w:val="105"/>
          <w:sz w:val="44"/>
          <w:szCs w:val="44"/>
        </w:rPr>
      </w:pPr>
    </w:p>
    <w:p>
      <w:pPr>
        <w:adjustRightInd w:val="0"/>
        <w:spacing w:line="480" w:lineRule="exact"/>
        <w:rPr>
          <w:rFonts w:ascii="黑体" w:hAnsi="宋体" w:eastAsia="黑体"/>
          <w:sz w:val="32"/>
          <w:szCs w:val="32"/>
          <w:u w:val="single"/>
        </w:rPr>
      </w:pPr>
    </w:p>
    <w:p>
      <w:pPr>
        <w:adjustRightInd w:val="0"/>
        <w:spacing w:line="480" w:lineRule="exact"/>
        <w:jc w:val="center"/>
        <w:rPr>
          <w:rFonts w:ascii="黑体" w:hAnsi="宋体" w:eastAsia="黑体"/>
          <w:b/>
          <w:sz w:val="32"/>
          <w:szCs w:val="3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rPr>
          <w:rFonts w:ascii="黑体" w:hAnsi="宋体" w:eastAsia="黑体"/>
          <w:b/>
          <w:sz w:val="52"/>
          <w:szCs w:val="52"/>
        </w:rPr>
      </w:pPr>
    </w:p>
    <w:p>
      <w:pPr>
        <w:adjustRightInd w:val="0"/>
        <w:spacing w:line="480" w:lineRule="exact"/>
        <w:jc w:val="center"/>
        <w:rPr>
          <w:rFonts w:ascii="黑体" w:hAnsi="宋体" w:eastAsia="黑体"/>
          <w:w w:val="90"/>
          <w:sz w:val="44"/>
          <w:szCs w:val="44"/>
        </w:rPr>
      </w:pPr>
    </w:p>
    <w:p>
      <w:pPr>
        <w:adjustRightInd w:val="0"/>
        <w:spacing w:line="480" w:lineRule="exact"/>
        <w:jc w:val="center"/>
        <w:rPr>
          <w:rFonts w:ascii="黑体" w:hAnsi="宋体" w:eastAsia="黑体"/>
          <w:b/>
          <w:sz w:val="52"/>
          <w:szCs w:val="52"/>
        </w:rPr>
      </w:pPr>
    </w:p>
    <w:p>
      <w:pPr>
        <w:keepNext w:val="0"/>
        <w:keepLines w:val="0"/>
        <w:pageBreakBefore w:val="0"/>
        <w:widowControl w:val="0"/>
        <w:tabs>
          <w:tab w:val="left" w:pos="6930"/>
        </w:tabs>
        <w:kinsoku/>
        <w:wordWrap/>
        <w:overflowPunct/>
        <w:topLinePunct w:val="0"/>
        <w:autoSpaceDE/>
        <w:autoSpaceDN/>
        <w:bidi w:val="0"/>
        <w:adjustRightInd w:val="0"/>
        <w:snapToGrid/>
        <w:spacing w:line="480" w:lineRule="exact"/>
        <w:jc w:val="center"/>
        <w:textAlignment w:val="auto"/>
        <w:rPr>
          <w:rFonts w:hint="eastAsia" w:ascii="黑体" w:hAnsi="黑体" w:eastAsia="黑体" w:cs="Arial"/>
          <w:b/>
          <w:bCs/>
          <w:snapToGrid w:val="0"/>
          <w:color w:val="000000"/>
          <w:kern w:val="0"/>
          <w:sz w:val="44"/>
          <w:szCs w:val="44"/>
          <w:lang w:eastAsia="en-US"/>
        </w:rPr>
      </w:pPr>
      <w:bookmarkStart w:id="0" w:name="OLE_LINK19"/>
      <w:bookmarkStart w:id="1" w:name="OLE_LINK20"/>
      <w:r>
        <w:rPr>
          <w:rFonts w:hint="eastAsia" w:ascii="黑体" w:hAnsi="黑体" w:eastAsia="黑体" w:cs="Arial"/>
          <w:b/>
          <w:bCs/>
          <w:snapToGrid w:val="0"/>
          <w:color w:val="000000"/>
          <w:kern w:val="0"/>
          <w:sz w:val="44"/>
          <w:szCs w:val="44"/>
          <w:lang w:eastAsia="en-US"/>
        </w:rPr>
        <w:t>2025年新疆生产建设兵团储水式电热水器</w:t>
      </w:r>
    </w:p>
    <w:p>
      <w:pPr>
        <w:keepNext w:val="0"/>
        <w:keepLines w:val="0"/>
        <w:pageBreakBefore w:val="0"/>
        <w:widowControl w:val="0"/>
        <w:tabs>
          <w:tab w:val="left" w:pos="6930"/>
        </w:tabs>
        <w:kinsoku/>
        <w:wordWrap/>
        <w:overflowPunct/>
        <w:topLinePunct w:val="0"/>
        <w:autoSpaceDE/>
        <w:autoSpaceDN/>
        <w:bidi w:val="0"/>
        <w:adjustRightInd w:val="0"/>
        <w:snapToGrid/>
        <w:spacing w:line="480" w:lineRule="exact"/>
        <w:jc w:val="center"/>
        <w:textAlignment w:val="auto"/>
        <w:rPr>
          <w:rFonts w:hint="eastAsia" w:ascii="黑体" w:hAnsi="黑体" w:eastAsia="黑体" w:cs="Arial"/>
          <w:b/>
          <w:bCs/>
          <w:snapToGrid w:val="0"/>
          <w:color w:val="000000"/>
          <w:kern w:val="0"/>
          <w:sz w:val="44"/>
          <w:szCs w:val="44"/>
          <w:lang w:eastAsia="en-US"/>
        </w:rPr>
      </w:pPr>
      <w:r>
        <w:rPr>
          <w:rFonts w:hint="eastAsia" w:ascii="黑体" w:hAnsi="黑体" w:eastAsia="黑体" w:cs="Arial"/>
          <w:b/>
          <w:bCs/>
          <w:snapToGrid w:val="0"/>
          <w:color w:val="000000"/>
          <w:kern w:val="0"/>
          <w:sz w:val="44"/>
          <w:szCs w:val="44"/>
          <w:lang w:eastAsia="en-US"/>
        </w:rPr>
        <w:t>产品质量监督抽查实施细则</w:t>
      </w:r>
    </w:p>
    <w:bookmarkEnd w:id="0"/>
    <w:bookmarkEnd w:id="1"/>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jc w:val="center"/>
        <w:rPr>
          <w:rFonts w:ascii="黑体" w:hAnsi="宋体" w:eastAsia="黑体"/>
          <w:b/>
          <w:sz w:val="52"/>
          <w:szCs w:val="52"/>
        </w:rPr>
      </w:pPr>
    </w:p>
    <w:p>
      <w:pPr>
        <w:adjustRightInd w:val="0"/>
        <w:spacing w:line="480" w:lineRule="exact"/>
        <w:rPr>
          <w:rFonts w:ascii="黑体" w:hAnsi="宋体" w:eastAsia="黑体"/>
          <w:sz w:val="32"/>
          <w:szCs w:val="32"/>
          <w:u w:val="single"/>
        </w:rPr>
      </w:pPr>
    </w:p>
    <w:p>
      <w:pPr>
        <w:adjustRightInd w:val="0"/>
        <w:spacing w:line="480" w:lineRule="exact"/>
        <w:rPr>
          <w:rFonts w:ascii="黑体" w:hAnsi="宋体" w:eastAsia="黑体"/>
          <w:sz w:val="32"/>
          <w:szCs w:val="32"/>
          <w:u w:val="single"/>
        </w:rPr>
      </w:pPr>
    </w:p>
    <w:p>
      <w:pPr>
        <w:adjustRightInd w:val="0"/>
        <w:spacing w:line="480" w:lineRule="exact"/>
        <w:rPr>
          <w:rFonts w:ascii="黑体" w:hAnsi="宋体" w:eastAsia="黑体"/>
          <w:sz w:val="32"/>
          <w:szCs w:val="32"/>
          <w:u w:val="single"/>
        </w:rPr>
      </w:pPr>
    </w:p>
    <w:p>
      <w:pPr>
        <w:adjustRightInd w:val="0"/>
        <w:spacing w:line="480" w:lineRule="exact"/>
        <w:ind w:right="-693" w:rightChars="-330"/>
        <w:rPr>
          <w:rFonts w:hint="eastAsia" w:ascii="黑体" w:hAnsi="黑体" w:eastAsia="黑体" w:cs="黑体"/>
          <w:color w:val="000000"/>
          <w:sz w:val="28"/>
          <w:szCs w:val="28"/>
          <w:u w:val="single"/>
        </w:rPr>
      </w:pPr>
      <w:bookmarkStart w:id="6" w:name="_GoBack"/>
      <w:r>
        <w:rPr>
          <w:rFonts w:hint="eastAsia" w:ascii="黑体" w:hAnsi="黑体" w:eastAsia="黑体" w:cs="黑体"/>
          <w:bCs/>
          <w:sz w:val="24"/>
          <w:u w:val="single"/>
        </w:rPr>
        <w:t xml:space="preserve">  2025-04-xx发布                                              2025-04-xx实施  </w:t>
      </w:r>
    </w:p>
    <w:bookmarkEnd w:id="6"/>
    <w:p>
      <w:pPr>
        <w:adjustRightInd w:val="0"/>
        <w:spacing w:line="480" w:lineRule="exact"/>
        <w:ind w:right="-334" w:rightChars="-159"/>
        <w:jc w:val="center"/>
        <w:rPr>
          <w:rFonts w:ascii="黑体" w:hAnsi="宋体" w:eastAsia="黑体"/>
          <w:color w:val="000000"/>
          <w:sz w:val="36"/>
          <w:szCs w:val="36"/>
        </w:rPr>
      </w:pPr>
      <w:r>
        <w:rPr>
          <w:rFonts w:hint="eastAsia" w:ascii="黑体" w:hAnsi="宋体" w:eastAsia="黑体"/>
          <w:color w:val="000000"/>
          <w:sz w:val="36"/>
          <w:szCs w:val="36"/>
        </w:rPr>
        <w:t>新疆生产建设兵团</w:t>
      </w:r>
      <w:r>
        <w:rPr>
          <w:rFonts w:ascii="黑体" w:hAnsi="宋体" w:eastAsia="黑体"/>
          <w:color w:val="000000"/>
          <w:sz w:val="36"/>
          <w:szCs w:val="36"/>
        </w:rPr>
        <w:t>市场监督管理局</w:t>
      </w:r>
    </w:p>
    <w:p>
      <w:pPr>
        <w:adjustRightInd w:val="0"/>
        <w:snapToGrid w:val="0"/>
        <w:spacing w:line="480" w:lineRule="exact"/>
        <w:jc w:val="center"/>
        <w:rPr>
          <w:rFonts w:ascii="黑体" w:hAnsi="黑体" w:eastAsia="黑体" w:cs="黑体"/>
          <w:bCs/>
          <w:sz w:val="32"/>
          <w:szCs w:val="32"/>
        </w:rPr>
      </w:pPr>
      <w:r>
        <w:rPr>
          <w:rFonts w:ascii="黑体" w:hAnsi="宋体" w:eastAsia="黑体"/>
          <w:b/>
          <w:sz w:val="32"/>
          <w:szCs w:val="32"/>
        </w:rPr>
        <w:br w:type="page"/>
      </w:r>
      <w:r>
        <w:rPr>
          <w:rFonts w:hint="eastAsia" w:ascii="黑体" w:hAnsi="黑体" w:eastAsia="黑体" w:cs="黑体"/>
          <w:bCs/>
          <w:sz w:val="32"/>
          <w:szCs w:val="32"/>
        </w:rPr>
        <w:t>2025年新疆生产建设兵团储水式电热水器产品质量监督抽查</w:t>
      </w:r>
    </w:p>
    <w:p>
      <w:pPr>
        <w:adjustRightInd w:val="0"/>
        <w:spacing w:line="480" w:lineRule="exact"/>
        <w:jc w:val="center"/>
        <w:rPr>
          <w:rFonts w:ascii="黑体" w:hAnsi="黑体" w:eastAsia="黑体" w:cs="黑体"/>
          <w:bCs/>
          <w:sz w:val="32"/>
          <w:szCs w:val="32"/>
        </w:rPr>
      </w:pPr>
      <w:r>
        <w:rPr>
          <w:rFonts w:hint="eastAsia" w:ascii="黑体" w:hAnsi="黑体" w:eastAsia="黑体" w:cs="黑体"/>
          <w:bCs/>
          <w:sz w:val="32"/>
          <w:szCs w:val="32"/>
        </w:rPr>
        <w:t>实施细则</w:t>
      </w:r>
    </w:p>
    <w:p>
      <w:pPr>
        <w:adjustRightInd w:val="0"/>
        <w:spacing w:line="480" w:lineRule="exact"/>
        <w:jc w:val="center"/>
        <w:rPr>
          <w:rFonts w:ascii="黑体" w:hAnsi="黑体" w:eastAsia="黑体" w:cs="黑体"/>
          <w:bCs/>
          <w:sz w:val="32"/>
          <w:szCs w:val="32"/>
        </w:rPr>
      </w:pPr>
    </w:p>
    <w:p>
      <w:pPr>
        <w:adjustRightInd w:val="0"/>
        <w:snapToGrid w:val="0"/>
        <w:spacing w:line="480" w:lineRule="exact"/>
        <w:rPr>
          <w:rFonts w:ascii="黑体" w:hAnsi="黑体" w:eastAsia="黑体"/>
          <w:bCs/>
          <w:szCs w:val="21"/>
        </w:rPr>
      </w:pPr>
      <w:r>
        <w:rPr>
          <w:rFonts w:hint="eastAsia" w:ascii="黑体" w:hAnsi="黑体" w:eastAsia="黑体"/>
          <w:bCs/>
          <w:szCs w:val="21"/>
        </w:rPr>
        <w:t>1 抽样方法</w:t>
      </w:r>
    </w:p>
    <w:p>
      <w:pPr>
        <w:spacing w:line="480" w:lineRule="exact"/>
        <w:ind w:firstLine="420" w:firstLineChars="200"/>
        <w:rPr>
          <w:rFonts w:ascii="宋体" w:hAnsi="宋体"/>
          <w:bCs/>
          <w:szCs w:val="21"/>
        </w:rPr>
      </w:pPr>
      <w:r>
        <w:rPr>
          <w:rFonts w:hint="eastAsia" w:ascii="宋体" w:hAnsi="宋体"/>
          <w:bCs/>
          <w:szCs w:val="21"/>
        </w:rPr>
        <w:t>随机抽取有产品质量检验合格证明或者以其他形式表明合格的产品。</w:t>
      </w:r>
    </w:p>
    <w:p>
      <w:pPr>
        <w:spacing w:line="480" w:lineRule="exact"/>
        <w:ind w:firstLine="420" w:firstLineChars="200"/>
        <w:rPr>
          <w:rFonts w:ascii="宋体" w:hAnsi="宋体"/>
          <w:bCs/>
          <w:szCs w:val="21"/>
        </w:rPr>
      </w:pPr>
      <w:r>
        <w:rPr>
          <w:rFonts w:hint="eastAsia" w:ascii="宋体" w:hAnsi="宋体"/>
          <w:szCs w:val="21"/>
        </w:rPr>
        <w:t>随机数一般可使用随机数表等方法产生。</w:t>
      </w:r>
    </w:p>
    <w:p>
      <w:pPr>
        <w:spacing w:line="480" w:lineRule="exact"/>
        <w:ind w:firstLine="420" w:firstLineChars="200"/>
        <w:rPr>
          <w:szCs w:val="21"/>
        </w:rPr>
      </w:pPr>
      <w:r>
        <w:rPr>
          <w:rFonts w:hint="eastAsia"/>
          <w:szCs w:val="21"/>
        </w:rPr>
        <w:t>每批次产品抽取样品</w:t>
      </w:r>
      <w:r>
        <w:rPr>
          <w:szCs w:val="21"/>
        </w:rPr>
        <w:t>3</w:t>
      </w:r>
      <w:r>
        <w:rPr>
          <w:rFonts w:hint="eastAsia"/>
          <w:szCs w:val="21"/>
        </w:rPr>
        <w:t>台，其中</w:t>
      </w:r>
      <w:r>
        <w:rPr>
          <w:szCs w:val="21"/>
        </w:rPr>
        <w:t>2</w:t>
      </w:r>
      <w:r>
        <w:rPr>
          <w:rFonts w:hint="eastAsia"/>
          <w:szCs w:val="21"/>
        </w:rPr>
        <w:t>台作为检验样品，</w:t>
      </w:r>
      <w:r>
        <w:rPr>
          <w:szCs w:val="21"/>
        </w:rPr>
        <w:t>1</w:t>
      </w:r>
      <w:r>
        <w:rPr>
          <w:rFonts w:hint="eastAsia"/>
          <w:szCs w:val="21"/>
        </w:rPr>
        <w:t>台作为备用样品。</w:t>
      </w:r>
    </w:p>
    <w:p>
      <w:pPr>
        <w:adjustRightInd w:val="0"/>
        <w:snapToGrid w:val="0"/>
        <w:spacing w:line="480" w:lineRule="exact"/>
        <w:rPr>
          <w:rFonts w:ascii="黑体" w:hAnsi="黑体" w:eastAsia="黑体"/>
          <w:bCs/>
          <w:szCs w:val="21"/>
        </w:rPr>
      </w:pPr>
    </w:p>
    <w:p>
      <w:pPr>
        <w:adjustRightInd w:val="0"/>
        <w:snapToGrid w:val="0"/>
        <w:spacing w:line="480" w:lineRule="exact"/>
        <w:rPr>
          <w:rFonts w:ascii="黑体" w:hAnsi="黑体" w:eastAsia="黑体"/>
          <w:bCs/>
          <w:szCs w:val="21"/>
        </w:rPr>
      </w:pPr>
      <w:r>
        <w:rPr>
          <w:rFonts w:hint="eastAsia" w:ascii="黑体" w:hAnsi="黑体" w:eastAsia="黑体"/>
          <w:bCs/>
          <w:szCs w:val="21"/>
        </w:rPr>
        <w:t>2 检验依据</w:t>
      </w:r>
      <w:bookmarkStart w:id="2" w:name="OLE_LINK14"/>
      <w:bookmarkStart w:id="3" w:name="OLE_LINK15"/>
    </w:p>
    <w:p>
      <w:pPr>
        <w:adjustRightInd w:val="0"/>
        <w:snapToGrid w:val="0"/>
        <w:spacing w:line="480" w:lineRule="exact"/>
        <w:jc w:val="center"/>
        <w:rPr>
          <w:rFonts w:ascii="黑体" w:hAnsi="黑体" w:eastAsia="黑体"/>
          <w:bCs/>
          <w:szCs w:val="21"/>
        </w:rPr>
      </w:pPr>
      <w:r>
        <w:rPr>
          <w:rFonts w:hint="eastAsia" w:ascii="宋体" w:hAnsi="宋体"/>
          <w:bCs/>
          <w:szCs w:val="21"/>
        </w:rPr>
        <w:t>表1  储水式电热水器检验项目及检验方法</w:t>
      </w:r>
    </w:p>
    <w:tbl>
      <w:tblPr>
        <w:tblStyle w:val="8"/>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96"/>
        <w:gridCol w:w="1566"/>
        <w:gridCol w:w="3136"/>
        <w:gridCol w:w="34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jc w:val="center"/>
        </w:trPr>
        <w:tc>
          <w:tcPr>
            <w:tcW w:w="543" w:type="pct"/>
            <w:tcBorders>
              <w:left w:val="single" w:color="000000" w:sz="4" w:space="0"/>
              <w:bottom w:val="single" w:color="000000" w:sz="4" w:space="0"/>
              <w:right w:val="single" w:color="000000" w:sz="4" w:space="0"/>
            </w:tcBorders>
            <w:vAlign w:val="center"/>
          </w:tcPr>
          <w:p>
            <w:pPr>
              <w:snapToGrid w:val="0"/>
              <w:spacing w:line="480" w:lineRule="exact"/>
              <w:jc w:val="center"/>
              <w:rPr>
                <w:rFonts w:ascii="宋体" w:hAnsi="宋体" w:cs="宋体"/>
                <w:szCs w:val="21"/>
              </w:rPr>
            </w:pPr>
            <w:r>
              <w:rPr>
                <w:rFonts w:hint="eastAsia" w:ascii="宋体" w:hAnsi="宋体" w:cs="宋体"/>
                <w:szCs w:val="21"/>
              </w:rPr>
              <w:t>序号</w:t>
            </w:r>
          </w:p>
        </w:tc>
        <w:tc>
          <w:tcPr>
            <w:tcW w:w="2564" w:type="pct"/>
            <w:gridSpan w:val="2"/>
            <w:tcBorders>
              <w:left w:val="single" w:color="000000" w:sz="4" w:space="0"/>
              <w:bottom w:val="single" w:color="000000" w:sz="4" w:space="0"/>
              <w:right w:val="single" w:color="000000" w:sz="4" w:space="0"/>
            </w:tcBorders>
            <w:vAlign w:val="center"/>
          </w:tcPr>
          <w:p>
            <w:pPr>
              <w:snapToGrid w:val="0"/>
              <w:spacing w:line="480" w:lineRule="exact"/>
              <w:jc w:val="center"/>
              <w:rPr>
                <w:rFonts w:ascii="宋体" w:hAnsi="宋体" w:cs="宋体"/>
                <w:szCs w:val="21"/>
              </w:rPr>
            </w:pPr>
            <w:r>
              <w:rPr>
                <w:rFonts w:hint="eastAsia" w:ascii="宋体" w:hAnsi="宋体" w:cs="宋体"/>
                <w:szCs w:val="21"/>
              </w:rPr>
              <w:t>试验项目</w:t>
            </w:r>
          </w:p>
        </w:tc>
        <w:tc>
          <w:tcPr>
            <w:tcW w:w="1893" w:type="pct"/>
            <w:tcBorders>
              <w:left w:val="single" w:color="000000" w:sz="4" w:space="0"/>
              <w:bottom w:val="single" w:color="000000" w:sz="4" w:space="0"/>
              <w:right w:val="single" w:color="auto" w:sz="4" w:space="0"/>
            </w:tcBorders>
            <w:vAlign w:val="center"/>
          </w:tcPr>
          <w:p>
            <w:pPr>
              <w:spacing w:line="480" w:lineRule="exact"/>
              <w:jc w:val="center"/>
              <w:rPr>
                <w:rFonts w:ascii="宋体" w:hAnsi="宋体" w:cs="宋体"/>
                <w:szCs w:val="21"/>
              </w:rPr>
            </w:pPr>
            <w:r>
              <w:rPr>
                <w:rFonts w:hint="eastAsia" w:ascii="宋体" w:hAnsi="宋体" w:cs="宋体"/>
                <w:szCs w:val="21"/>
              </w:rPr>
              <w:t>检验方法标准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napToGrid w:val="0"/>
              <w:spacing w:line="480" w:lineRule="exact"/>
              <w:jc w:val="center"/>
              <w:rPr>
                <w:rFonts w:ascii="宋体" w:hAnsi="宋体" w:cs="宋体"/>
                <w:szCs w:val="21"/>
              </w:rPr>
            </w:pPr>
            <w:r>
              <w:rPr>
                <w:rFonts w:hint="eastAsia" w:ascii="宋体" w:hAnsi="宋体" w:cs="宋体"/>
                <w:szCs w:val="21"/>
              </w:rPr>
              <w:t>1</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对触及带电部件的防护</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napToGrid w:val="0"/>
              <w:spacing w:line="480" w:lineRule="exact"/>
              <w:jc w:val="center"/>
              <w:rPr>
                <w:rFonts w:ascii="宋体" w:hAnsi="宋体" w:cs="宋体"/>
                <w:szCs w:val="21"/>
              </w:rPr>
            </w:pPr>
            <w:r>
              <w:rPr>
                <w:rFonts w:hint="eastAsia" w:ascii="宋体" w:hAnsi="宋体" w:cs="宋体"/>
                <w:szCs w:val="21"/>
              </w:rPr>
              <w:t>2</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输入功率和电流</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napToGrid w:val="0"/>
              <w:spacing w:line="480" w:lineRule="exact"/>
              <w:jc w:val="center"/>
              <w:rPr>
                <w:rFonts w:ascii="宋体" w:hAnsi="宋体" w:cs="宋体"/>
                <w:szCs w:val="21"/>
              </w:rPr>
            </w:pPr>
            <w:r>
              <w:rPr>
                <w:rFonts w:hint="eastAsia" w:ascii="宋体" w:hAnsi="宋体" w:cs="宋体"/>
                <w:szCs w:val="21"/>
              </w:rPr>
              <w:t>3</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发热</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napToGrid w:val="0"/>
              <w:spacing w:line="480" w:lineRule="exact"/>
              <w:jc w:val="center"/>
              <w:rPr>
                <w:rFonts w:ascii="宋体" w:hAnsi="宋体" w:cs="宋体"/>
                <w:szCs w:val="21"/>
              </w:rPr>
            </w:pPr>
            <w:r>
              <w:rPr>
                <w:rFonts w:hint="eastAsia" w:ascii="宋体" w:hAnsi="宋体" w:cs="宋体"/>
                <w:szCs w:val="21"/>
              </w:rPr>
              <w:t>4</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在工作温度下的泄漏电流和电气强度</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5</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耐潮湿</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6</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泄漏电流和电气强度</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7</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非正常工作</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8</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机械强度</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9</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结构</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10</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内部布线</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bookmarkStart w:id="4" w:name="_Hlk195100268"/>
            <w:r>
              <w:rPr>
                <w:rFonts w:hint="eastAsia" w:ascii="宋体" w:hAnsi="宋体" w:cs="宋体"/>
                <w:szCs w:val="21"/>
              </w:rPr>
              <w:t>11</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电源连接和外部软线</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bookmarkEnd w:id="4"/>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napToGrid w:val="0"/>
              <w:spacing w:line="480" w:lineRule="exact"/>
              <w:jc w:val="center"/>
              <w:rPr>
                <w:rFonts w:ascii="宋体" w:hAnsi="宋体" w:cs="宋体"/>
                <w:color w:val="000000"/>
                <w:szCs w:val="21"/>
              </w:rPr>
            </w:pPr>
            <w:r>
              <w:rPr>
                <w:rFonts w:hint="eastAsia" w:ascii="宋体" w:hAnsi="宋体" w:cs="宋体"/>
                <w:color w:val="000000"/>
                <w:szCs w:val="21"/>
              </w:rPr>
              <w:t>12</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napToGrid w:val="0"/>
              <w:spacing w:line="480" w:lineRule="exact"/>
              <w:jc w:val="center"/>
              <w:rPr>
                <w:rFonts w:ascii="宋体" w:hAnsi="宋体" w:cs="宋体"/>
                <w:color w:val="000000"/>
                <w:szCs w:val="21"/>
              </w:rPr>
            </w:pPr>
            <w:r>
              <w:rPr>
                <w:rFonts w:hint="eastAsia" w:ascii="宋体" w:hAnsi="宋体" w:cs="宋体"/>
                <w:szCs w:val="21"/>
              </w:rPr>
              <w:t>外部导线用接线端子</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13</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接地措施</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14</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螺钉和连接</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15</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爬电距离、电气间隙和穿通绝缘距离</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napToGrid w:val="0"/>
              <w:spacing w:line="480" w:lineRule="exact"/>
              <w:jc w:val="center"/>
              <w:rPr>
                <w:rFonts w:ascii="宋体" w:hAnsi="宋体" w:cs="宋体"/>
                <w:color w:val="000000"/>
                <w:szCs w:val="21"/>
              </w:rPr>
            </w:pPr>
            <w:r>
              <w:rPr>
                <w:rFonts w:hint="eastAsia" w:ascii="宋体" w:hAnsi="宋体" w:cs="宋体"/>
                <w:color w:val="000000"/>
                <w:szCs w:val="21"/>
              </w:rPr>
              <w:t>16</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cs="宋体"/>
                <w:color w:val="000000"/>
                <w:szCs w:val="21"/>
              </w:rPr>
            </w:pPr>
            <w:r>
              <w:rPr>
                <w:rFonts w:hint="eastAsia" w:ascii="宋体" w:hAnsi="宋体" w:cs="宋体"/>
                <w:szCs w:val="21"/>
              </w:rPr>
              <w:t>对在接地系统异常时提供应急防护措施的Ⅰ类热水器的附加要求</w:t>
            </w:r>
          </w:p>
        </w:tc>
        <w:tc>
          <w:tcPr>
            <w:tcW w:w="1893" w:type="pct"/>
            <w:tcBorders>
              <w:top w:val="single" w:color="000000" w:sz="4" w:space="0"/>
              <w:left w:val="single" w:color="000000" w:sz="4" w:space="0"/>
              <w:bottom w:val="single" w:color="000000" w:sz="4" w:space="0"/>
              <w:right w:val="single" w:color="auto" w:sz="4" w:space="0"/>
            </w:tcBorders>
            <w:vAlign w:val="center"/>
          </w:tcPr>
          <w:p>
            <w:pPr>
              <w:spacing w:line="260" w:lineRule="exact"/>
              <w:jc w:val="center"/>
              <w:rPr>
                <w:rFonts w:ascii="宋体" w:hAnsi="宋体"/>
                <w:szCs w:val="21"/>
              </w:rPr>
            </w:pPr>
            <w:r>
              <w:rPr>
                <w:rFonts w:hint="eastAsia" w:ascii="宋体" w:hAnsi="宋体"/>
                <w:szCs w:val="21"/>
              </w:rPr>
              <w:t>GB 4706.1-1998</w:t>
            </w:r>
          </w:p>
          <w:p>
            <w:pPr>
              <w:spacing w:line="260" w:lineRule="exact"/>
              <w:jc w:val="center"/>
              <w:rPr>
                <w:rFonts w:ascii="宋体" w:hAnsi="宋体"/>
                <w:szCs w:val="21"/>
              </w:rPr>
            </w:pPr>
            <w:r>
              <w:rPr>
                <w:rFonts w:hint="eastAsia" w:ascii="宋体" w:hAnsi="宋体"/>
                <w:szCs w:val="21"/>
              </w:rPr>
              <w:t xml:space="preserve">GB 4706.12-2006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snapToGrid w:val="0"/>
              <w:spacing w:line="480" w:lineRule="exact"/>
              <w:jc w:val="center"/>
              <w:rPr>
                <w:rFonts w:ascii="宋体" w:hAnsi="宋体" w:cs="宋体"/>
                <w:color w:val="000000"/>
                <w:szCs w:val="21"/>
              </w:rPr>
            </w:pPr>
            <w:r>
              <w:rPr>
                <w:rFonts w:hint="eastAsia" w:ascii="宋体" w:hAnsi="宋体" w:cs="宋体"/>
                <w:color w:val="000000"/>
                <w:szCs w:val="21"/>
              </w:rPr>
              <w:t>17</w:t>
            </w:r>
          </w:p>
        </w:tc>
        <w:tc>
          <w:tcPr>
            <w:tcW w:w="2564" w:type="pct"/>
            <w:gridSpan w:val="2"/>
            <w:tcBorders>
              <w:top w:val="single" w:color="000000" w:sz="4" w:space="0"/>
              <w:left w:val="single" w:color="000000" w:sz="4" w:space="0"/>
              <w:bottom w:val="single" w:color="000000" w:sz="4" w:space="0"/>
              <w:right w:val="single" w:color="000000" w:sz="4" w:space="0"/>
            </w:tcBorders>
            <w:vAlign w:val="center"/>
          </w:tcPr>
          <w:p>
            <w:pPr>
              <w:snapToGrid w:val="0"/>
              <w:spacing w:line="480" w:lineRule="exact"/>
              <w:jc w:val="center"/>
              <w:rPr>
                <w:rFonts w:ascii="宋体" w:hAnsi="宋体" w:cs="宋体"/>
                <w:color w:val="000000"/>
                <w:szCs w:val="21"/>
              </w:rPr>
            </w:pPr>
            <w:r>
              <w:rPr>
                <w:rFonts w:hint="eastAsia" w:ascii="宋体" w:hAnsi="宋体" w:cs="宋体"/>
                <w:szCs w:val="21"/>
              </w:rPr>
              <w:t>容量</w:t>
            </w:r>
          </w:p>
        </w:tc>
        <w:tc>
          <w:tcPr>
            <w:tcW w:w="1893" w:type="pct"/>
            <w:tcBorders>
              <w:top w:val="single" w:color="000000" w:sz="4" w:space="0"/>
              <w:left w:val="single" w:color="000000" w:sz="4" w:space="0"/>
              <w:bottom w:val="single" w:color="000000" w:sz="4" w:space="0"/>
              <w:right w:val="single" w:color="auto" w:sz="4" w:space="0"/>
            </w:tcBorders>
            <w:vAlign w:val="center"/>
          </w:tcPr>
          <w:p>
            <w:pPr>
              <w:snapToGrid w:val="0"/>
              <w:spacing w:line="480" w:lineRule="exact"/>
              <w:jc w:val="center"/>
              <w:rPr>
                <w:rFonts w:ascii="宋体" w:hAnsi="宋体" w:cs="宋体"/>
                <w:color w:val="000000"/>
                <w:szCs w:val="21"/>
              </w:rPr>
            </w:pPr>
            <w:r>
              <w:rPr>
                <w:rFonts w:hint="eastAsia" w:ascii="宋体" w:hAnsi="宋体" w:cs="宋体"/>
                <w:color w:val="000000"/>
                <w:szCs w:val="21"/>
              </w:rPr>
              <w:t>GB/T 20289</w:t>
            </w:r>
            <w:r>
              <w:rPr>
                <w:rFonts w:hint="eastAsia" w:ascii="宋体" w:hAnsi="宋体" w:cs="宋体"/>
                <w:szCs w:val="21"/>
              </w:rPr>
              <w:t>—</w:t>
            </w:r>
            <w:r>
              <w:rPr>
                <w:rFonts w:hint="eastAsia" w:ascii="宋体" w:hAnsi="宋体" w:cs="宋体"/>
                <w:color w:val="000000"/>
                <w:szCs w:val="21"/>
              </w:rPr>
              <w:t>2006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jc w:val="center"/>
        </w:trPr>
        <w:tc>
          <w:tcPr>
            <w:tcW w:w="543" w:type="pct"/>
            <w:vMerge w:val="restart"/>
            <w:tcBorders>
              <w:top w:val="single" w:color="000000" w:sz="4" w:space="0"/>
              <w:left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18</w:t>
            </w:r>
          </w:p>
        </w:tc>
        <w:tc>
          <w:tcPr>
            <w:tcW w:w="854" w:type="pct"/>
            <w:vMerge w:val="restart"/>
            <w:tcBorders>
              <w:top w:val="single" w:color="000000" w:sz="4" w:space="0"/>
              <w:left w:val="single" w:color="000000" w:sz="4" w:space="0"/>
              <w:right w:val="single" w:color="auto" w:sz="4" w:space="0"/>
            </w:tcBorders>
            <w:vAlign w:val="center"/>
          </w:tcPr>
          <w:p>
            <w:pPr>
              <w:snapToGrid w:val="0"/>
              <w:spacing w:line="480" w:lineRule="exact"/>
              <w:jc w:val="center"/>
              <w:rPr>
                <w:rFonts w:ascii="宋体" w:hAnsi="宋体" w:cs="宋体"/>
                <w:szCs w:val="21"/>
              </w:rPr>
            </w:pPr>
            <w:r>
              <w:rPr>
                <w:rFonts w:hint="eastAsia" w:ascii="宋体" w:hAnsi="宋体" w:cs="宋体"/>
                <w:szCs w:val="21"/>
              </w:rPr>
              <w:t>能效等级</w:t>
            </w:r>
          </w:p>
        </w:tc>
        <w:tc>
          <w:tcPr>
            <w:tcW w:w="1710" w:type="pct"/>
            <w:tcBorders>
              <w:top w:val="single" w:color="000000" w:sz="4" w:space="0"/>
              <w:left w:val="single" w:color="auto" w:sz="4" w:space="0"/>
              <w:bottom w:val="single" w:color="auto" w:sz="4" w:space="0"/>
              <w:right w:val="single" w:color="000000" w:sz="4" w:space="0"/>
            </w:tcBorders>
            <w:vAlign w:val="center"/>
          </w:tcPr>
          <w:p>
            <w:pPr>
              <w:snapToGrid w:val="0"/>
              <w:spacing w:line="480" w:lineRule="exact"/>
              <w:jc w:val="center"/>
              <w:rPr>
                <w:rFonts w:ascii="宋体" w:hAnsi="宋体" w:cs="宋体"/>
                <w:szCs w:val="21"/>
              </w:rPr>
            </w:pPr>
            <w:r>
              <w:rPr>
                <w:rFonts w:hint="eastAsia" w:ascii="宋体" w:hAnsi="宋体" w:cs="宋体"/>
                <w:szCs w:val="21"/>
              </w:rPr>
              <w:t>24h固有能耗系数</w:t>
            </w:r>
          </w:p>
        </w:tc>
        <w:tc>
          <w:tcPr>
            <w:tcW w:w="1893" w:type="pct"/>
            <w:tcBorders>
              <w:top w:val="single" w:color="000000" w:sz="4" w:space="0"/>
              <w:left w:val="single" w:color="000000" w:sz="4" w:space="0"/>
              <w:bottom w:val="single" w:color="auto" w:sz="4" w:space="0"/>
              <w:right w:val="single" w:color="auto" w:sz="4" w:space="0"/>
            </w:tcBorders>
            <w:vAlign w:val="center"/>
          </w:tcPr>
          <w:p>
            <w:pPr>
              <w:snapToGrid w:val="0"/>
              <w:spacing w:line="480" w:lineRule="exact"/>
              <w:jc w:val="center"/>
              <w:rPr>
                <w:rFonts w:ascii="宋体" w:hAnsi="宋体" w:cs="宋体"/>
                <w:color w:val="000000"/>
                <w:szCs w:val="21"/>
              </w:rPr>
            </w:pPr>
            <w:r>
              <w:rPr>
                <w:rFonts w:hint="eastAsia" w:ascii="宋体" w:hAnsi="宋体" w:cs="宋体"/>
                <w:szCs w:val="21"/>
              </w:rPr>
              <w:t>GB 21519—2008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3" w:hRule="atLeast"/>
          <w:jc w:val="center"/>
        </w:trPr>
        <w:tc>
          <w:tcPr>
            <w:tcW w:w="543" w:type="pct"/>
            <w:vMerge w:val="continue"/>
            <w:tcBorders>
              <w:left w:val="single" w:color="000000" w:sz="4" w:space="0"/>
              <w:bottom w:val="single" w:color="000000" w:sz="4" w:space="0"/>
              <w:right w:val="single" w:color="000000" w:sz="4" w:space="0"/>
            </w:tcBorders>
            <w:vAlign w:val="center"/>
          </w:tcPr>
          <w:p>
            <w:pPr>
              <w:spacing w:line="480" w:lineRule="exact"/>
              <w:jc w:val="center"/>
              <w:rPr>
                <w:rFonts w:ascii="宋体" w:hAnsi="宋体" w:cs="宋体"/>
                <w:szCs w:val="21"/>
              </w:rPr>
            </w:pPr>
          </w:p>
        </w:tc>
        <w:tc>
          <w:tcPr>
            <w:tcW w:w="854" w:type="pct"/>
            <w:vMerge w:val="continue"/>
            <w:tcBorders>
              <w:left w:val="single" w:color="000000" w:sz="4" w:space="0"/>
              <w:bottom w:val="single" w:color="000000" w:sz="4" w:space="0"/>
              <w:right w:val="single" w:color="auto" w:sz="4" w:space="0"/>
            </w:tcBorders>
            <w:vAlign w:val="center"/>
          </w:tcPr>
          <w:p>
            <w:pPr>
              <w:spacing w:line="480" w:lineRule="exact"/>
              <w:jc w:val="center"/>
              <w:rPr>
                <w:rFonts w:ascii="宋体" w:hAnsi="宋体" w:cs="宋体"/>
                <w:szCs w:val="21"/>
              </w:rPr>
            </w:pPr>
          </w:p>
        </w:tc>
        <w:tc>
          <w:tcPr>
            <w:tcW w:w="1710" w:type="pct"/>
            <w:tcBorders>
              <w:top w:val="single" w:color="auto" w:sz="4" w:space="0"/>
              <w:left w:val="single" w:color="auto" w:sz="4" w:space="0"/>
              <w:bottom w:val="single" w:color="000000" w:sz="4" w:space="0"/>
              <w:right w:val="single" w:color="000000" w:sz="4" w:space="0"/>
            </w:tcBorders>
            <w:vAlign w:val="center"/>
          </w:tcPr>
          <w:p>
            <w:pPr>
              <w:spacing w:line="480" w:lineRule="exact"/>
              <w:jc w:val="center"/>
              <w:rPr>
                <w:rFonts w:ascii="宋体" w:hAnsi="宋体" w:cs="宋体"/>
                <w:szCs w:val="21"/>
              </w:rPr>
            </w:pPr>
            <w:r>
              <w:rPr>
                <w:rFonts w:hint="eastAsia" w:ascii="宋体" w:hAnsi="宋体" w:cs="宋体"/>
                <w:szCs w:val="21"/>
              </w:rPr>
              <w:t>热水输出率</w:t>
            </w:r>
          </w:p>
        </w:tc>
        <w:tc>
          <w:tcPr>
            <w:tcW w:w="1893" w:type="pct"/>
            <w:tcBorders>
              <w:top w:val="single" w:color="auto" w:sz="4" w:space="0"/>
              <w:left w:val="single" w:color="000000" w:sz="4" w:space="0"/>
              <w:bottom w:val="single" w:color="000000" w:sz="4" w:space="0"/>
              <w:right w:val="single" w:color="auto" w:sz="4" w:space="0"/>
            </w:tcBorders>
            <w:vAlign w:val="center"/>
          </w:tcPr>
          <w:p>
            <w:pPr>
              <w:spacing w:line="480" w:lineRule="exact"/>
              <w:jc w:val="center"/>
              <w:rPr>
                <w:rFonts w:ascii="宋体" w:hAnsi="宋体" w:cs="宋体"/>
                <w:szCs w:val="21"/>
              </w:rPr>
            </w:pPr>
            <w:r>
              <w:rPr>
                <w:rFonts w:hint="eastAsia" w:ascii="宋体" w:hAnsi="宋体" w:cs="宋体"/>
                <w:szCs w:val="21"/>
              </w:rPr>
              <w:t>GB 21519—2008</w:t>
            </w:r>
          </w:p>
        </w:tc>
      </w:tr>
      <w:bookmarkEnd w:id="2"/>
      <w:bookmarkEnd w:id="3"/>
    </w:tbl>
    <w:p>
      <w:pPr>
        <w:snapToGrid w:val="0"/>
        <w:spacing w:line="48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80" w:lineRule="exact"/>
        <w:ind w:firstLine="420" w:firstLineChars="200"/>
        <w:rPr>
          <w:rFonts w:ascii="宋体" w:hAnsi="宋体"/>
          <w:szCs w:val="21"/>
        </w:rPr>
      </w:pPr>
      <w:r>
        <w:rPr>
          <w:rFonts w:hint="eastAsia" w:ascii="宋体" w:hAnsi="宋体"/>
          <w:szCs w:val="21"/>
        </w:rPr>
        <w:t>凡是注日期的文件，其随后所有的修改单（不包括勘误的内容）或修订版不适用于本细则。凡是不注日期的文件，其最新版本适用于本细则。</w:t>
      </w:r>
    </w:p>
    <w:p>
      <w:pPr>
        <w:adjustRightInd w:val="0"/>
        <w:snapToGrid w:val="0"/>
        <w:spacing w:line="480" w:lineRule="exact"/>
        <w:rPr>
          <w:rFonts w:ascii="黑体" w:hAnsi="黑体" w:eastAsia="黑体"/>
          <w:bCs/>
          <w:szCs w:val="21"/>
        </w:rPr>
      </w:pPr>
    </w:p>
    <w:p>
      <w:pPr>
        <w:adjustRightInd w:val="0"/>
        <w:snapToGrid w:val="0"/>
        <w:spacing w:line="480" w:lineRule="exact"/>
        <w:rPr>
          <w:rFonts w:ascii="黑体" w:hAnsi="黑体" w:eastAsia="黑体"/>
          <w:bCs/>
          <w:szCs w:val="21"/>
        </w:rPr>
      </w:pPr>
      <w:r>
        <w:rPr>
          <w:rFonts w:hint="eastAsia" w:ascii="黑体" w:hAnsi="黑体" w:eastAsia="黑体"/>
          <w:bCs/>
          <w:szCs w:val="21"/>
        </w:rPr>
        <w:t>3 判定规则</w:t>
      </w:r>
    </w:p>
    <w:p>
      <w:pPr>
        <w:snapToGrid w:val="0"/>
        <w:spacing w:line="480" w:lineRule="exact"/>
        <w:rPr>
          <w:rFonts w:ascii="宋体" w:hAnsi="宋体"/>
          <w:bCs/>
          <w:szCs w:val="21"/>
        </w:rPr>
      </w:pPr>
      <w:r>
        <w:rPr>
          <w:rFonts w:hint="eastAsia" w:ascii="宋体" w:hAnsi="宋体"/>
          <w:bCs/>
          <w:szCs w:val="21"/>
        </w:rPr>
        <w:t>3.1依据标准</w:t>
      </w:r>
    </w:p>
    <w:p>
      <w:pPr>
        <w:snapToGrid w:val="0"/>
        <w:spacing w:line="480" w:lineRule="exact"/>
        <w:ind w:firstLine="428" w:firstLineChars="200"/>
        <w:rPr>
          <w:rFonts w:ascii="宋体" w:hAnsi="宋体"/>
          <w:szCs w:val="21"/>
        </w:rPr>
      </w:pPr>
      <w:bookmarkStart w:id="5" w:name="OLE_LINK13"/>
      <w:r>
        <w:rPr>
          <w:rFonts w:hint="eastAsia" w:ascii="宋体" w:hAnsi="宋体" w:cs="宋体"/>
          <w:spacing w:val="2"/>
          <w:kern w:val="0"/>
          <w:szCs w:val="21"/>
        </w:rPr>
        <w:t>GB 4706.1—1998 家用和类似用途电器的安全  第一部分：通用要求</w:t>
      </w:r>
    </w:p>
    <w:p>
      <w:pPr>
        <w:snapToGrid w:val="0"/>
        <w:spacing w:line="480" w:lineRule="exact"/>
        <w:ind w:firstLine="420" w:firstLineChars="200"/>
        <w:rPr>
          <w:rFonts w:ascii="宋体" w:hAnsi="宋体"/>
          <w:szCs w:val="21"/>
        </w:rPr>
      </w:pPr>
      <w:r>
        <w:rPr>
          <w:rFonts w:hint="eastAsia" w:ascii="宋体" w:hAnsi="宋体"/>
          <w:szCs w:val="21"/>
        </w:rPr>
        <w:t>GB 4706.12-2006 家用和类似用途电器的安全 储水式热水器的特殊要求</w:t>
      </w:r>
    </w:p>
    <w:p>
      <w:pPr>
        <w:snapToGrid w:val="0"/>
        <w:spacing w:line="480" w:lineRule="exact"/>
        <w:ind w:firstLine="420" w:firstLineChars="200"/>
        <w:rPr>
          <w:rFonts w:ascii="宋体" w:hAnsi="宋体"/>
          <w:szCs w:val="21"/>
        </w:rPr>
      </w:pPr>
      <w:r>
        <w:rPr>
          <w:rFonts w:ascii="宋体" w:hAnsi="宋体"/>
          <w:szCs w:val="21"/>
        </w:rPr>
        <w:t>GB 21519</w:t>
      </w:r>
      <w:r>
        <w:rPr>
          <w:rFonts w:hint="eastAsia" w:ascii="宋体" w:hAnsi="宋体"/>
          <w:szCs w:val="21"/>
        </w:rPr>
        <w:t>—</w:t>
      </w:r>
      <w:r>
        <w:rPr>
          <w:rFonts w:ascii="宋体" w:hAnsi="宋体"/>
          <w:szCs w:val="21"/>
        </w:rPr>
        <w:t>2008 储水式电热水器能效限定值及能效等级</w:t>
      </w:r>
    </w:p>
    <w:p>
      <w:pPr>
        <w:snapToGrid w:val="0"/>
        <w:spacing w:line="480" w:lineRule="exact"/>
        <w:ind w:firstLine="420" w:firstLineChars="200"/>
        <w:rPr>
          <w:rFonts w:ascii="宋体" w:hAnsi="宋体"/>
          <w:szCs w:val="21"/>
        </w:rPr>
      </w:pPr>
      <w:r>
        <w:rPr>
          <w:rFonts w:ascii="宋体" w:hAnsi="宋体"/>
          <w:szCs w:val="21"/>
        </w:rPr>
        <w:t>GB/T 20289</w:t>
      </w:r>
      <w:r>
        <w:rPr>
          <w:rFonts w:hint="eastAsia" w:ascii="宋体" w:hAnsi="宋体"/>
          <w:szCs w:val="21"/>
        </w:rPr>
        <w:t>—</w:t>
      </w:r>
      <w:r>
        <w:rPr>
          <w:rFonts w:ascii="宋体" w:hAnsi="宋体"/>
          <w:szCs w:val="21"/>
        </w:rPr>
        <w:t>2006 储水式电热水器</w:t>
      </w:r>
    </w:p>
    <w:bookmarkEnd w:id="5"/>
    <w:p>
      <w:pPr>
        <w:snapToGrid w:val="0"/>
        <w:spacing w:line="480" w:lineRule="exact"/>
        <w:ind w:firstLine="420" w:firstLineChars="200"/>
        <w:rPr>
          <w:rFonts w:ascii="宋体" w:hAnsi="宋体"/>
          <w:szCs w:val="21"/>
        </w:rPr>
      </w:pPr>
      <w:r>
        <w:rPr>
          <w:rFonts w:hint="eastAsia" w:ascii="宋体" w:hAnsi="宋体"/>
          <w:szCs w:val="21"/>
        </w:rPr>
        <w:t>现行有效的企业标准、团体标准、地方标准及产品明示质量要求</w:t>
      </w:r>
    </w:p>
    <w:p>
      <w:pPr>
        <w:snapToGrid w:val="0"/>
        <w:spacing w:line="480" w:lineRule="exact"/>
        <w:rPr>
          <w:rFonts w:ascii="宋体" w:hAnsi="宋体"/>
          <w:bCs/>
          <w:szCs w:val="21"/>
        </w:rPr>
      </w:pPr>
      <w:r>
        <w:rPr>
          <w:rFonts w:hint="eastAsia" w:ascii="宋体" w:hAnsi="宋体"/>
          <w:bCs/>
          <w:szCs w:val="21"/>
        </w:rPr>
        <w:t>3.2判定原则</w:t>
      </w:r>
    </w:p>
    <w:p>
      <w:pPr>
        <w:snapToGrid w:val="0"/>
        <w:spacing w:line="48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napToGrid w:val="0"/>
        <w:spacing w:line="48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8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8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8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8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tabs>
          <w:tab w:val="left" w:pos="2940"/>
        </w:tabs>
        <w:snapToGrid w:val="0"/>
        <w:spacing w:line="480" w:lineRule="exact"/>
        <w:ind w:firstLine="417" w:firstLineChars="199"/>
        <w:rPr>
          <w:color w:val="000000"/>
          <w:szCs w:val="21"/>
        </w:rPr>
      </w:pPr>
      <w:r>
        <w:pict>
          <v:line id="_x0000_s1029" o:spid="_x0000_s1029" o:spt="20" style="position:absolute;left:0pt;margin-left:121.15pt;margin-top:25.25pt;height:0.05pt;width:225pt;z-index:251659264;mso-width-relative:page;mso-height-relative:page;" filled="t" coordsize="21600,21600">
            <v:path arrowok="t"/>
            <v:fill type="gradient" on="t" angle="90" focussize="0,0">
              <o:fill type="gradientUnscaled" v:ext="backwardCompatible"/>
            </v:fill>
            <v:stroke weight="0.25pt"/>
            <v:imagedata o:title=""/>
            <o:lock v:ext="edit"/>
          </v:line>
        </w:pict>
      </w:r>
    </w:p>
    <w:sectPr>
      <w:headerReference r:id="rId3" w:type="default"/>
      <w:footerReference r:id="rId4" w:type="default"/>
      <w:footerReference r:id="rId5" w:type="even"/>
      <w:pgSz w:w="11906" w:h="16838"/>
      <w:pgMar w:top="1984" w:right="1474" w:bottom="1644" w:left="1474"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83607B03-8159-403D-84D1-EA7A25FE05D4}"/>
  </w:font>
  <w:font w:name="黑体">
    <w:panose1 w:val="02010609060101010101"/>
    <w:charset w:val="86"/>
    <w:family w:val="auto"/>
    <w:pitch w:val="default"/>
    <w:sig w:usb0="800002BF" w:usb1="38CF7CFA" w:usb2="00000016" w:usb3="00000000" w:csb0="00040001" w:csb1="00000000"/>
    <w:embedRegular r:id="rId2" w:fontKey="{E7A3AA7A-691F-45FB-9E5D-D1786106A2E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t>2</w:t>
    </w:r>
    <w: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VhYmNhOWFmMDI5ZmRiNmI1NjkyMDIyMWMwNDg0NGMifQ=="/>
  </w:docVars>
  <w:rsids>
    <w:rsidRoot w:val="00172A27"/>
    <w:rsid w:val="000003C7"/>
    <w:rsid w:val="00000B18"/>
    <w:rsid w:val="000036F4"/>
    <w:rsid w:val="00015A12"/>
    <w:rsid w:val="000276A9"/>
    <w:rsid w:val="00032E0F"/>
    <w:rsid w:val="000341AF"/>
    <w:rsid w:val="00035064"/>
    <w:rsid w:val="00051A44"/>
    <w:rsid w:val="00071001"/>
    <w:rsid w:val="00081CBD"/>
    <w:rsid w:val="00087857"/>
    <w:rsid w:val="000976DE"/>
    <w:rsid w:val="000A56CD"/>
    <w:rsid w:val="000C613E"/>
    <w:rsid w:val="000D0007"/>
    <w:rsid w:val="000F64F9"/>
    <w:rsid w:val="000F6E44"/>
    <w:rsid w:val="001035C2"/>
    <w:rsid w:val="00131CCB"/>
    <w:rsid w:val="00134831"/>
    <w:rsid w:val="001518B6"/>
    <w:rsid w:val="001715A9"/>
    <w:rsid w:val="00172A27"/>
    <w:rsid w:val="00175489"/>
    <w:rsid w:val="001754B1"/>
    <w:rsid w:val="001809DD"/>
    <w:rsid w:val="001904E1"/>
    <w:rsid w:val="001A4BA7"/>
    <w:rsid w:val="001B77ED"/>
    <w:rsid w:val="001C0253"/>
    <w:rsid w:val="001C0B5F"/>
    <w:rsid w:val="001C4F34"/>
    <w:rsid w:val="001D1FBC"/>
    <w:rsid w:val="001D6824"/>
    <w:rsid w:val="001E4729"/>
    <w:rsid w:val="001F7180"/>
    <w:rsid w:val="00210539"/>
    <w:rsid w:val="0021196E"/>
    <w:rsid w:val="00223317"/>
    <w:rsid w:val="0022473B"/>
    <w:rsid w:val="00226724"/>
    <w:rsid w:val="0023380F"/>
    <w:rsid w:val="00253624"/>
    <w:rsid w:val="002749D1"/>
    <w:rsid w:val="00274E3E"/>
    <w:rsid w:val="002825C2"/>
    <w:rsid w:val="00291B8D"/>
    <w:rsid w:val="00293B52"/>
    <w:rsid w:val="002A298B"/>
    <w:rsid w:val="002A7D1C"/>
    <w:rsid w:val="002B018A"/>
    <w:rsid w:val="002B3154"/>
    <w:rsid w:val="002B50E7"/>
    <w:rsid w:val="002D2068"/>
    <w:rsid w:val="002D7F8A"/>
    <w:rsid w:val="002E0D1D"/>
    <w:rsid w:val="002E1EAC"/>
    <w:rsid w:val="002E319F"/>
    <w:rsid w:val="002E68A8"/>
    <w:rsid w:val="002E772A"/>
    <w:rsid w:val="002F49EA"/>
    <w:rsid w:val="00306A87"/>
    <w:rsid w:val="003203A3"/>
    <w:rsid w:val="003211DD"/>
    <w:rsid w:val="00335701"/>
    <w:rsid w:val="00371567"/>
    <w:rsid w:val="00375E4A"/>
    <w:rsid w:val="003908BA"/>
    <w:rsid w:val="0039208F"/>
    <w:rsid w:val="003B226D"/>
    <w:rsid w:val="003B3A68"/>
    <w:rsid w:val="003C388C"/>
    <w:rsid w:val="003C49D5"/>
    <w:rsid w:val="003C4CFD"/>
    <w:rsid w:val="003D0118"/>
    <w:rsid w:val="003D165C"/>
    <w:rsid w:val="003E4890"/>
    <w:rsid w:val="003E61BF"/>
    <w:rsid w:val="003F1695"/>
    <w:rsid w:val="003F7815"/>
    <w:rsid w:val="004263DC"/>
    <w:rsid w:val="00426402"/>
    <w:rsid w:val="00427534"/>
    <w:rsid w:val="00427D8E"/>
    <w:rsid w:val="004315D3"/>
    <w:rsid w:val="00431B92"/>
    <w:rsid w:val="00441CD2"/>
    <w:rsid w:val="00442A9A"/>
    <w:rsid w:val="00445E86"/>
    <w:rsid w:val="004510B3"/>
    <w:rsid w:val="00457A50"/>
    <w:rsid w:val="00474E04"/>
    <w:rsid w:val="0047614B"/>
    <w:rsid w:val="004820E0"/>
    <w:rsid w:val="00490A9C"/>
    <w:rsid w:val="004A4057"/>
    <w:rsid w:val="004C7F27"/>
    <w:rsid w:val="004D0C5A"/>
    <w:rsid w:val="004D0E11"/>
    <w:rsid w:val="004D25D5"/>
    <w:rsid w:val="004D4B2E"/>
    <w:rsid w:val="004E1396"/>
    <w:rsid w:val="004E5A21"/>
    <w:rsid w:val="004E6463"/>
    <w:rsid w:val="004F4DF1"/>
    <w:rsid w:val="00504916"/>
    <w:rsid w:val="00515553"/>
    <w:rsid w:val="00516197"/>
    <w:rsid w:val="00523240"/>
    <w:rsid w:val="00523863"/>
    <w:rsid w:val="0053767C"/>
    <w:rsid w:val="00560BA9"/>
    <w:rsid w:val="00563EBC"/>
    <w:rsid w:val="00590258"/>
    <w:rsid w:val="005A39D3"/>
    <w:rsid w:val="005A3E5F"/>
    <w:rsid w:val="005D7833"/>
    <w:rsid w:val="005E61B5"/>
    <w:rsid w:val="005E710B"/>
    <w:rsid w:val="006062E1"/>
    <w:rsid w:val="006241C7"/>
    <w:rsid w:val="00637FB4"/>
    <w:rsid w:val="00640286"/>
    <w:rsid w:val="00643C90"/>
    <w:rsid w:val="00650FA2"/>
    <w:rsid w:val="00651B6E"/>
    <w:rsid w:val="006617E9"/>
    <w:rsid w:val="006661AC"/>
    <w:rsid w:val="00672B6A"/>
    <w:rsid w:val="00677567"/>
    <w:rsid w:val="00684106"/>
    <w:rsid w:val="006B1436"/>
    <w:rsid w:val="006B3511"/>
    <w:rsid w:val="006B4959"/>
    <w:rsid w:val="006B5E89"/>
    <w:rsid w:val="006B7ACD"/>
    <w:rsid w:val="006D58B0"/>
    <w:rsid w:val="006F0971"/>
    <w:rsid w:val="007035AB"/>
    <w:rsid w:val="007064E0"/>
    <w:rsid w:val="007076A7"/>
    <w:rsid w:val="00711039"/>
    <w:rsid w:val="00720D95"/>
    <w:rsid w:val="0072334C"/>
    <w:rsid w:val="0074174D"/>
    <w:rsid w:val="00756A15"/>
    <w:rsid w:val="007626BB"/>
    <w:rsid w:val="00764B44"/>
    <w:rsid w:val="00775B99"/>
    <w:rsid w:val="007A0AE7"/>
    <w:rsid w:val="007B3BBD"/>
    <w:rsid w:val="007B4581"/>
    <w:rsid w:val="007B476E"/>
    <w:rsid w:val="007D4454"/>
    <w:rsid w:val="007D5622"/>
    <w:rsid w:val="007F26B4"/>
    <w:rsid w:val="00803110"/>
    <w:rsid w:val="0080374C"/>
    <w:rsid w:val="0080654F"/>
    <w:rsid w:val="008121A2"/>
    <w:rsid w:val="0081453E"/>
    <w:rsid w:val="00832480"/>
    <w:rsid w:val="0083350B"/>
    <w:rsid w:val="00833A7C"/>
    <w:rsid w:val="00835F10"/>
    <w:rsid w:val="00840977"/>
    <w:rsid w:val="0084366D"/>
    <w:rsid w:val="00854F6E"/>
    <w:rsid w:val="00862178"/>
    <w:rsid w:val="00877F01"/>
    <w:rsid w:val="00880EB3"/>
    <w:rsid w:val="00887E05"/>
    <w:rsid w:val="00895BEA"/>
    <w:rsid w:val="008A0055"/>
    <w:rsid w:val="008A0FF4"/>
    <w:rsid w:val="008A3497"/>
    <w:rsid w:val="008A55AE"/>
    <w:rsid w:val="008A5AF6"/>
    <w:rsid w:val="008A5D98"/>
    <w:rsid w:val="008B69C6"/>
    <w:rsid w:val="008B6AA6"/>
    <w:rsid w:val="008B7AB8"/>
    <w:rsid w:val="008C31D0"/>
    <w:rsid w:val="008C7121"/>
    <w:rsid w:val="008C74DF"/>
    <w:rsid w:val="008F2CA7"/>
    <w:rsid w:val="008F7267"/>
    <w:rsid w:val="0090401C"/>
    <w:rsid w:val="00905558"/>
    <w:rsid w:val="009055F7"/>
    <w:rsid w:val="00916DA0"/>
    <w:rsid w:val="00917A54"/>
    <w:rsid w:val="00924C0E"/>
    <w:rsid w:val="009339AE"/>
    <w:rsid w:val="00943446"/>
    <w:rsid w:val="009439DD"/>
    <w:rsid w:val="0094409B"/>
    <w:rsid w:val="009443F6"/>
    <w:rsid w:val="009464F9"/>
    <w:rsid w:val="009659A3"/>
    <w:rsid w:val="009667AA"/>
    <w:rsid w:val="00972E10"/>
    <w:rsid w:val="00973B12"/>
    <w:rsid w:val="0097718A"/>
    <w:rsid w:val="009A1D61"/>
    <w:rsid w:val="009A3D32"/>
    <w:rsid w:val="009B2714"/>
    <w:rsid w:val="009D29B0"/>
    <w:rsid w:val="009D7B49"/>
    <w:rsid w:val="009E3857"/>
    <w:rsid w:val="009E73FD"/>
    <w:rsid w:val="009F6B32"/>
    <w:rsid w:val="009F79F4"/>
    <w:rsid w:val="00A034F4"/>
    <w:rsid w:val="00A25095"/>
    <w:rsid w:val="00A40FEF"/>
    <w:rsid w:val="00A43553"/>
    <w:rsid w:val="00A50A1C"/>
    <w:rsid w:val="00A52FA7"/>
    <w:rsid w:val="00A61567"/>
    <w:rsid w:val="00A62B41"/>
    <w:rsid w:val="00A82410"/>
    <w:rsid w:val="00A8284B"/>
    <w:rsid w:val="00A8778B"/>
    <w:rsid w:val="00A95167"/>
    <w:rsid w:val="00AA2B3B"/>
    <w:rsid w:val="00AA2BE0"/>
    <w:rsid w:val="00AB1B60"/>
    <w:rsid w:val="00AB47A2"/>
    <w:rsid w:val="00AB5A76"/>
    <w:rsid w:val="00AC1815"/>
    <w:rsid w:val="00AC2C98"/>
    <w:rsid w:val="00AC4FFC"/>
    <w:rsid w:val="00AC63A0"/>
    <w:rsid w:val="00AD1654"/>
    <w:rsid w:val="00AD5446"/>
    <w:rsid w:val="00AF06AE"/>
    <w:rsid w:val="00B052CD"/>
    <w:rsid w:val="00B06575"/>
    <w:rsid w:val="00B11A9D"/>
    <w:rsid w:val="00B435B0"/>
    <w:rsid w:val="00B53911"/>
    <w:rsid w:val="00B6027C"/>
    <w:rsid w:val="00B60FC4"/>
    <w:rsid w:val="00B65001"/>
    <w:rsid w:val="00B67859"/>
    <w:rsid w:val="00B67F66"/>
    <w:rsid w:val="00B92E02"/>
    <w:rsid w:val="00B92EA8"/>
    <w:rsid w:val="00BA29DB"/>
    <w:rsid w:val="00BA39E8"/>
    <w:rsid w:val="00BA444C"/>
    <w:rsid w:val="00BA7CBE"/>
    <w:rsid w:val="00BB2E33"/>
    <w:rsid w:val="00BC0F3D"/>
    <w:rsid w:val="00BC2570"/>
    <w:rsid w:val="00BD5E15"/>
    <w:rsid w:val="00BE2098"/>
    <w:rsid w:val="00BE601A"/>
    <w:rsid w:val="00BF04E2"/>
    <w:rsid w:val="00BF2499"/>
    <w:rsid w:val="00BF5FF6"/>
    <w:rsid w:val="00C04BB6"/>
    <w:rsid w:val="00C11645"/>
    <w:rsid w:val="00C14067"/>
    <w:rsid w:val="00C235A7"/>
    <w:rsid w:val="00C26074"/>
    <w:rsid w:val="00C32153"/>
    <w:rsid w:val="00C353D5"/>
    <w:rsid w:val="00C44E39"/>
    <w:rsid w:val="00C50105"/>
    <w:rsid w:val="00C5014D"/>
    <w:rsid w:val="00C53242"/>
    <w:rsid w:val="00C54630"/>
    <w:rsid w:val="00C54BC5"/>
    <w:rsid w:val="00C54FB2"/>
    <w:rsid w:val="00C83106"/>
    <w:rsid w:val="00C83B0A"/>
    <w:rsid w:val="00C94824"/>
    <w:rsid w:val="00CA5642"/>
    <w:rsid w:val="00CB27CE"/>
    <w:rsid w:val="00CB4CFB"/>
    <w:rsid w:val="00CC35A4"/>
    <w:rsid w:val="00CC3F7B"/>
    <w:rsid w:val="00CD5014"/>
    <w:rsid w:val="00CD5147"/>
    <w:rsid w:val="00CE1E0C"/>
    <w:rsid w:val="00CE277E"/>
    <w:rsid w:val="00CE387D"/>
    <w:rsid w:val="00CE5230"/>
    <w:rsid w:val="00D14906"/>
    <w:rsid w:val="00D15D3E"/>
    <w:rsid w:val="00D31AD0"/>
    <w:rsid w:val="00D32D7C"/>
    <w:rsid w:val="00D45E0D"/>
    <w:rsid w:val="00D56867"/>
    <w:rsid w:val="00D67FB9"/>
    <w:rsid w:val="00D727AC"/>
    <w:rsid w:val="00D9366F"/>
    <w:rsid w:val="00DB2242"/>
    <w:rsid w:val="00DB6E0E"/>
    <w:rsid w:val="00DC19FC"/>
    <w:rsid w:val="00DC570B"/>
    <w:rsid w:val="00DD4B0F"/>
    <w:rsid w:val="00DE187C"/>
    <w:rsid w:val="00DE2618"/>
    <w:rsid w:val="00DE27A9"/>
    <w:rsid w:val="00DE5A74"/>
    <w:rsid w:val="00DF135C"/>
    <w:rsid w:val="00E02A7F"/>
    <w:rsid w:val="00E07880"/>
    <w:rsid w:val="00E20E35"/>
    <w:rsid w:val="00E20FBC"/>
    <w:rsid w:val="00E34A99"/>
    <w:rsid w:val="00E44A9F"/>
    <w:rsid w:val="00E47801"/>
    <w:rsid w:val="00E60707"/>
    <w:rsid w:val="00E72F85"/>
    <w:rsid w:val="00E74D42"/>
    <w:rsid w:val="00E753E6"/>
    <w:rsid w:val="00E82621"/>
    <w:rsid w:val="00E82AA9"/>
    <w:rsid w:val="00E85E2F"/>
    <w:rsid w:val="00E8703C"/>
    <w:rsid w:val="00EA577E"/>
    <w:rsid w:val="00EB2A98"/>
    <w:rsid w:val="00ED08D1"/>
    <w:rsid w:val="00EE2F85"/>
    <w:rsid w:val="00EF086A"/>
    <w:rsid w:val="00EF6524"/>
    <w:rsid w:val="00F01BEC"/>
    <w:rsid w:val="00F030E4"/>
    <w:rsid w:val="00F31712"/>
    <w:rsid w:val="00F370D1"/>
    <w:rsid w:val="00F41F1B"/>
    <w:rsid w:val="00F51B27"/>
    <w:rsid w:val="00F5233C"/>
    <w:rsid w:val="00F550B7"/>
    <w:rsid w:val="00F555D7"/>
    <w:rsid w:val="00F721D8"/>
    <w:rsid w:val="00F73546"/>
    <w:rsid w:val="00F77C9A"/>
    <w:rsid w:val="00F8284C"/>
    <w:rsid w:val="00F85D18"/>
    <w:rsid w:val="00F9402A"/>
    <w:rsid w:val="00FA64F9"/>
    <w:rsid w:val="00FB2570"/>
    <w:rsid w:val="00FB576C"/>
    <w:rsid w:val="00FD2AA6"/>
    <w:rsid w:val="00FE060F"/>
    <w:rsid w:val="00FE2EBB"/>
    <w:rsid w:val="00FE7E8A"/>
    <w:rsid w:val="00FF477D"/>
    <w:rsid w:val="012869A8"/>
    <w:rsid w:val="03E24C27"/>
    <w:rsid w:val="06FA34D6"/>
    <w:rsid w:val="0F4A7D3F"/>
    <w:rsid w:val="14D430A9"/>
    <w:rsid w:val="196F6971"/>
    <w:rsid w:val="19A2504A"/>
    <w:rsid w:val="19BE3706"/>
    <w:rsid w:val="1AD97324"/>
    <w:rsid w:val="1B310649"/>
    <w:rsid w:val="1BA004BA"/>
    <w:rsid w:val="1BAC7F86"/>
    <w:rsid w:val="1C202F72"/>
    <w:rsid w:val="1CD125A9"/>
    <w:rsid w:val="1FAE211C"/>
    <w:rsid w:val="21271E30"/>
    <w:rsid w:val="22A70FE7"/>
    <w:rsid w:val="232D19AA"/>
    <w:rsid w:val="25901ED5"/>
    <w:rsid w:val="27EE2B60"/>
    <w:rsid w:val="2A520044"/>
    <w:rsid w:val="2A864303"/>
    <w:rsid w:val="308675AA"/>
    <w:rsid w:val="36C57381"/>
    <w:rsid w:val="398742CA"/>
    <w:rsid w:val="3B95269E"/>
    <w:rsid w:val="3BA713EC"/>
    <w:rsid w:val="3C022A85"/>
    <w:rsid w:val="3E6E32C4"/>
    <w:rsid w:val="43461BFD"/>
    <w:rsid w:val="46AD3E4D"/>
    <w:rsid w:val="49DB0536"/>
    <w:rsid w:val="4B5B4220"/>
    <w:rsid w:val="4BEC1766"/>
    <w:rsid w:val="4C224BFA"/>
    <w:rsid w:val="4F1E09DB"/>
    <w:rsid w:val="4F891FE9"/>
    <w:rsid w:val="50052A51"/>
    <w:rsid w:val="52133DDD"/>
    <w:rsid w:val="53C8697C"/>
    <w:rsid w:val="546806C6"/>
    <w:rsid w:val="56A3467A"/>
    <w:rsid w:val="5A522FD2"/>
    <w:rsid w:val="5AE64CDE"/>
    <w:rsid w:val="5CCC1B99"/>
    <w:rsid w:val="5CEB1B07"/>
    <w:rsid w:val="60387B56"/>
    <w:rsid w:val="62A10094"/>
    <w:rsid w:val="66DA3D66"/>
    <w:rsid w:val="6A1C6093"/>
    <w:rsid w:val="6C130C69"/>
    <w:rsid w:val="74085625"/>
    <w:rsid w:val="755271FF"/>
    <w:rsid w:val="7E8965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rPr>
      <w:lang w:val="zh-CN"/>
    </w:rPr>
  </w:style>
  <w:style w:type="paragraph" w:styleId="3">
    <w:name w:val="Date"/>
    <w:basedOn w:val="1"/>
    <w:next w:val="1"/>
    <w:link w:val="19"/>
    <w:unhideWhenUsed/>
    <w:qFormat/>
    <w:uiPriority w:val="99"/>
    <w:pPr>
      <w:ind w:left="100" w:leftChars="2500"/>
    </w:pPr>
    <w:rPr>
      <w:lang w:val="zh-CN"/>
    </w:rPr>
  </w:style>
  <w:style w:type="paragraph" w:styleId="4">
    <w:name w:val="Balloon Text"/>
    <w:basedOn w:val="1"/>
    <w:link w:val="16"/>
    <w:unhideWhenUsed/>
    <w:qFormat/>
    <w:uiPriority w:val="99"/>
    <w:rPr>
      <w:sz w:val="18"/>
      <w:szCs w:val="18"/>
      <w:lang w:val="zh-CN"/>
    </w:rPr>
  </w:style>
  <w:style w:type="paragraph" w:styleId="5">
    <w:name w:val="footer"/>
    <w:basedOn w:val="1"/>
    <w:link w:val="17"/>
    <w:unhideWhenUsed/>
    <w:uiPriority w:val="99"/>
    <w:pPr>
      <w:tabs>
        <w:tab w:val="center" w:pos="4153"/>
        <w:tab w:val="right" w:pos="8306"/>
      </w:tabs>
      <w:snapToGrid w:val="0"/>
      <w:jc w:val="left"/>
    </w:pPr>
    <w:rPr>
      <w:sz w:val="18"/>
      <w:szCs w:val="18"/>
      <w:lang w:val="zh-CN"/>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7">
    <w:name w:val="annotation subject"/>
    <w:basedOn w:val="2"/>
    <w:next w:val="2"/>
    <w:link w:val="14"/>
    <w:unhideWhenUsed/>
    <w:qFormat/>
    <w:uiPriority w:val="99"/>
    <w:rPr>
      <w:b/>
      <w:bCs/>
      <w:lang w:val="en-US"/>
    </w:rPr>
  </w:style>
  <w:style w:type="table" w:styleId="9">
    <w:name w:val="Table Grid"/>
    <w:basedOn w:val="8"/>
    <w:unhideWhenUsed/>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page number"/>
    <w:basedOn w:val="10"/>
    <w:qFormat/>
    <w:uiPriority w:val="0"/>
  </w:style>
  <w:style w:type="character" w:styleId="12">
    <w:name w:val="annotation reference"/>
    <w:unhideWhenUsed/>
    <w:qFormat/>
    <w:uiPriority w:val="99"/>
    <w:rPr>
      <w:sz w:val="21"/>
      <w:szCs w:val="21"/>
    </w:rPr>
  </w:style>
  <w:style w:type="character" w:customStyle="1" w:styleId="13">
    <w:name w:val="页眉 Char"/>
    <w:link w:val="6"/>
    <w:semiHidden/>
    <w:qFormat/>
    <w:uiPriority w:val="99"/>
    <w:rPr>
      <w:kern w:val="2"/>
      <w:sz w:val="18"/>
      <w:szCs w:val="18"/>
    </w:rPr>
  </w:style>
  <w:style w:type="character" w:customStyle="1" w:styleId="14">
    <w:name w:val="批注主题 Char"/>
    <w:basedOn w:val="15"/>
    <w:link w:val="7"/>
    <w:semiHidden/>
    <w:qFormat/>
    <w:uiPriority w:val="99"/>
    <w:rPr>
      <w:b/>
      <w:bCs/>
      <w:kern w:val="2"/>
      <w:sz w:val="21"/>
      <w:szCs w:val="24"/>
    </w:rPr>
  </w:style>
  <w:style w:type="character" w:customStyle="1" w:styleId="15">
    <w:name w:val="批注文字 Char"/>
    <w:link w:val="2"/>
    <w:semiHidden/>
    <w:qFormat/>
    <w:uiPriority w:val="99"/>
    <w:rPr>
      <w:kern w:val="2"/>
      <w:sz w:val="21"/>
      <w:szCs w:val="24"/>
    </w:rPr>
  </w:style>
  <w:style w:type="character" w:customStyle="1" w:styleId="16">
    <w:name w:val="批注框文本 Char"/>
    <w:link w:val="4"/>
    <w:semiHidden/>
    <w:qFormat/>
    <w:uiPriority w:val="99"/>
    <w:rPr>
      <w:kern w:val="2"/>
      <w:sz w:val="18"/>
      <w:szCs w:val="18"/>
    </w:rPr>
  </w:style>
  <w:style w:type="character" w:customStyle="1" w:styleId="17">
    <w:name w:val="页脚 Char"/>
    <w:link w:val="5"/>
    <w:qFormat/>
    <w:uiPriority w:val="99"/>
    <w:rPr>
      <w:kern w:val="2"/>
      <w:sz w:val="18"/>
      <w:szCs w:val="18"/>
    </w:rPr>
  </w:style>
  <w:style w:type="character" w:customStyle="1" w:styleId="18">
    <w:name w:val="highlight"/>
    <w:basedOn w:val="10"/>
    <w:qFormat/>
    <w:uiPriority w:val="0"/>
  </w:style>
  <w:style w:type="character" w:customStyle="1" w:styleId="19">
    <w:name w:val="日期 Char"/>
    <w:link w:val="3"/>
    <w:semiHidden/>
    <w:qFormat/>
    <w:uiPriority w:val="99"/>
    <w:rPr>
      <w:kern w:val="2"/>
      <w:sz w:val="21"/>
      <w:szCs w:val="24"/>
    </w:rPr>
  </w:style>
  <w:style w:type="paragraph" w:customStyle="1" w:styleId="20">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4</Pages>
  <Words>968</Words>
  <Characters>748</Characters>
  <Lines>6</Lines>
  <Paragraphs>3</Paragraphs>
  <TotalTime>0</TotalTime>
  <ScaleCrop>false</ScaleCrop>
  <LinksUpToDate>false</LinksUpToDate>
  <CharactersWithSpaces>1713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2021-06-25T15:01:00Z</dcterms:created>
  <dc:creator>Legend User</dc:creator>
  <cp:lastModifiedBy>杨颖</cp:lastModifiedBy>
  <cp:lastPrinted>2022-05-12T09:18:00Z</cp:lastPrinted>
  <dcterms:modified xsi:type="dcterms:W3CDTF">2025-05-06T02:46:18Z</dcterms:modified>
  <dc:title>××产品质量监督抽查实施细则</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EC652C4FC74549AAA38A1D04A503D625_12</vt:lpwstr>
  </property>
  <property fmtid="{D5CDD505-2E9C-101B-9397-08002B2CF9AE}" pid="4" name="KSOTemplateDocerSaveRecord">
    <vt:lpwstr>eyJoZGlkIjoiOTI5OGU4NGM0N2VhNDI3ZTQyYTE0ZTMzYTI1NTJjNmEiLCJ1c2VySWQiOiIzNDM5Nzk1ODkifQ==</vt:lpwstr>
  </property>
</Properties>
</file>