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530" w:tblpY="-28"/>
        <w:tblOverlap w:val="never"/>
        <w:tblW w:w="8660" w:type="dxa"/>
        <w:tblBorders>
          <w:bottom w:val="single" w:sz="4" w:space="0" w:color="auto"/>
        </w:tblBorders>
        <w:tblLayout w:type="fixed"/>
        <w:tblLook w:val="04A0"/>
      </w:tblPr>
      <w:tblGrid>
        <w:gridCol w:w="8660"/>
      </w:tblGrid>
      <w:tr w:rsidR="00900862">
        <w:trPr>
          <w:trHeight w:val="913"/>
        </w:trPr>
        <w:tc>
          <w:tcPr>
            <w:tcW w:w="8660" w:type="dxa"/>
          </w:tcPr>
          <w:p w:rsidR="00900862" w:rsidRDefault="0011126E">
            <w:pPr>
              <w:spacing w:line="360" w:lineRule="auto"/>
              <w:jc w:val="center"/>
              <w:rPr>
                <w:rFonts w:eastAsia="黑体"/>
                <w:spacing w:val="20"/>
                <w:w w:val="105"/>
                <w:sz w:val="52"/>
                <w:szCs w:val="52"/>
              </w:rPr>
            </w:pPr>
            <w:r>
              <w:rPr>
                <w:rFonts w:eastAsia="黑体"/>
                <w:spacing w:val="20"/>
                <w:w w:val="105"/>
                <w:sz w:val="52"/>
                <w:szCs w:val="52"/>
              </w:rPr>
              <w:t>产品质量监督抽查实施细则</w:t>
            </w:r>
          </w:p>
        </w:tc>
      </w:tr>
    </w:tbl>
    <w:p w:rsidR="00900862" w:rsidRDefault="00900862">
      <w:pPr>
        <w:adjustRightInd w:val="0"/>
        <w:spacing w:line="480" w:lineRule="exact"/>
        <w:rPr>
          <w:rFonts w:eastAsia="黑体"/>
          <w:sz w:val="32"/>
          <w:szCs w:val="32"/>
        </w:rPr>
      </w:pPr>
    </w:p>
    <w:p w:rsidR="00900862" w:rsidRDefault="00900862">
      <w:pPr>
        <w:adjustRightInd w:val="0"/>
        <w:spacing w:line="480" w:lineRule="exact"/>
        <w:jc w:val="center"/>
        <w:rPr>
          <w:rFonts w:eastAsia="黑体"/>
          <w:b/>
          <w:sz w:val="52"/>
          <w:szCs w:val="52"/>
        </w:rPr>
      </w:pPr>
    </w:p>
    <w:p w:rsidR="00900862" w:rsidRDefault="00900862">
      <w:pPr>
        <w:adjustRightInd w:val="0"/>
        <w:spacing w:line="480" w:lineRule="exact"/>
        <w:jc w:val="center"/>
        <w:rPr>
          <w:rFonts w:eastAsia="黑体"/>
          <w:b/>
          <w:sz w:val="52"/>
          <w:szCs w:val="52"/>
        </w:rPr>
      </w:pPr>
    </w:p>
    <w:p w:rsidR="00900862" w:rsidRDefault="00900862">
      <w:pPr>
        <w:adjustRightInd w:val="0"/>
        <w:spacing w:line="480" w:lineRule="exact"/>
        <w:jc w:val="center"/>
        <w:rPr>
          <w:rFonts w:eastAsia="黑体"/>
          <w:b/>
          <w:sz w:val="52"/>
          <w:szCs w:val="52"/>
        </w:rPr>
      </w:pPr>
    </w:p>
    <w:p w:rsidR="00900862" w:rsidRDefault="00900862">
      <w:pPr>
        <w:adjustRightInd w:val="0"/>
        <w:spacing w:line="480" w:lineRule="exact"/>
        <w:jc w:val="center"/>
        <w:rPr>
          <w:rFonts w:eastAsia="黑体"/>
          <w:b/>
          <w:sz w:val="52"/>
          <w:szCs w:val="52"/>
        </w:rPr>
      </w:pPr>
    </w:p>
    <w:p w:rsidR="00900862" w:rsidRDefault="00900862">
      <w:pPr>
        <w:adjustRightInd w:val="0"/>
        <w:spacing w:line="480" w:lineRule="exact"/>
        <w:jc w:val="center"/>
        <w:rPr>
          <w:rFonts w:eastAsia="黑体"/>
          <w:b/>
          <w:sz w:val="52"/>
          <w:szCs w:val="52"/>
        </w:rPr>
      </w:pPr>
    </w:p>
    <w:p w:rsidR="00900862" w:rsidRDefault="00900862">
      <w:pPr>
        <w:spacing w:line="600" w:lineRule="exact"/>
        <w:jc w:val="center"/>
        <w:rPr>
          <w:rFonts w:eastAsia="黑体"/>
          <w:b/>
          <w:bCs/>
          <w:sz w:val="44"/>
          <w:szCs w:val="44"/>
        </w:rPr>
      </w:pPr>
    </w:p>
    <w:p w:rsidR="00900862" w:rsidRDefault="00900862">
      <w:pPr>
        <w:spacing w:line="600" w:lineRule="exact"/>
        <w:jc w:val="center"/>
        <w:rPr>
          <w:rFonts w:eastAsia="黑体"/>
          <w:b/>
          <w:bCs/>
          <w:sz w:val="44"/>
          <w:szCs w:val="44"/>
        </w:rPr>
      </w:pPr>
    </w:p>
    <w:p w:rsidR="00900862" w:rsidRDefault="00900862">
      <w:pPr>
        <w:spacing w:line="600" w:lineRule="exact"/>
        <w:jc w:val="center"/>
        <w:rPr>
          <w:rFonts w:eastAsia="黑体"/>
          <w:b/>
          <w:bCs/>
          <w:sz w:val="44"/>
          <w:szCs w:val="44"/>
        </w:rPr>
      </w:pPr>
    </w:p>
    <w:p w:rsidR="00900862" w:rsidRDefault="0011126E">
      <w:pPr>
        <w:spacing w:line="600" w:lineRule="exact"/>
        <w:jc w:val="center"/>
        <w:rPr>
          <w:rFonts w:eastAsia="黑体"/>
          <w:b/>
          <w:bCs/>
          <w:sz w:val="44"/>
          <w:szCs w:val="44"/>
        </w:rPr>
      </w:pPr>
      <w:r>
        <w:rPr>
          <w:rFonts w:eastAsia="黑体"/>
          <w:b/>
          <w:bCs/>
          <w:sz w:val="44"/>
          <w:szCs w:val="44"/>
        </w:rPr>
        <w:t>2020</w:t>
      </w:r>
      <w:r>
        <w:rPr>
          <w:rFonts w:eastAsia="黑体"/>
          <w:b/>
          <w:bCs/>
          <w:sz w:val="44"/>
          <w:szCs w:val="44"/>
        </w:rPr>
        <w:t>年新疆生产建设兵团平板玻璃</w:t>
      </w:r>
    </w:p>
    <w:p w:rsidR="00900862" w:rsidRDefault="0011126E">
      <w:pPr>
        <w:spacing w:line="600" w:lineRule="exact"/>
        <w:jc w:val="center"/>
        <w:rPr>
          <w:rFonts w:eastAsia="黑体"/>
          <w:b/>
          <w:bCs/>
          <w:sz w:val="44"/>
          <w:szCs w:val="44"/>
        </w:rPr>
      </w:pPr>
      <w:r>
        <w:rPr>
          <w:rFonts w:eastAsia="黑体"/>
          <w:b/>
          <w:bCs/>
          <w:sz w:val="44"/>
          <w:szCs w:val="44"/>
        </w:rPr>
        <w:t>产品质量监督抽查实施细则</w:t>
      </w:r>
    </w:p>
    <w:p w:rsidR="00900862" w:rsidRDefault="00900862">
      <w:pPr>
        <w:tabs>
          <w:tab w:val="left" w:pos="6930"/>
        </w:tabs>
        <w:adjustRightInd w:val="0"/>
        <w:spacing w:line="480" w:lineRule="exact"/>
        <w:jc w:val="left"/>
        <w:rPr>
          <w:rFonts w:eastAsia="黑体"/>
          <w:b/>
          <w:bCs/>
          <w:sz w:val="44"/>
          <w:szCs w:val="44"/>
        </w:rPr>
      </w:pPr>
    </w:p>
    <w:p w:rsidR="00900862" w:rsidRDefault="00900862">
      <w:pPr>
        <w:tabs>
          <w:tab w:val="left" w:pos="6930"/>
        </w:tabs>
        <w:adjustRightInd w:val="0"/>
        <w:spacing w:line="480" w:lineRule="exact"/>
        <w:jc w:val="left"/>
        <w:rPr>
          <w:rFonts w:eastAsia="黑体"/>
          <w:b/>
          <w:sz w:val="52"/>
          <w:szCs w:val="52"/>
        </w:rPr>
      </w:pPr>
    </w:p>
    <w:p w:rsidR="00900862" w:rsidRDefault="00900862">
      <w:pPr>
        <w:adjustRightInd w:val="0"/>
        <w:spacing w:line="480" w:lineRule="exact"/>
        <w:jc w:val="center"/>
        <w:rPr>
          <w:rFonts w:eastAsia="黑体"/>
          <w:b/>
          <w:sz w:val="52"/>
          <w:szCs w:val="52"/>
        </w:rPr>
      </w:pPr>
    </w:p>
    <w:p w:rsidR="00900862" w:rsidRDefault="00900862">
      <w:pPr>
        <w:adjustRightInd w:val="0"/>
        <w:spacing w:line="480" w:lineRule="exact"/>
        <w:jc w:val="center"/>
        <w:rPr>
          <w:rFonts w:eastAsia="黑体"/>
          <w:b/>
          <w:sz w:val="52"/>
          <w:szCs w:val="52"/>
        </w:rPr>
      </w:pPr>
    </w:p>
    <w:p w:rsidR="00900862" w:rsidRDefault="00900862">
      <w:pPr>
        <w:adjustRightInd w:val="0"/>
        <w:spacing w:line="480" w:lineRule="exact"/>
        <w:jc w:val="center"/>
        <w:rPr>
          <w:rFonts w:eastAsia="黑体"/>
          <w:b/>
          <w:sz w:val="52"/>
          <w:szCs w:val="52"/>
        </w:rPr>
      </w:pPr>
    </w:p>
    <w:p w:rsidR="00900862" w:rsidRDefault="00900862">
      <w:pPr>
        <w:adjustRightInd w:val="0"/>
        <w:spacing w:line="480" w:lineRule="exact"/>
        <w:jc w:val="center"/>
        <w:rPr>
          <w:rFonts w:eastAsia="黑体"/>
          <w:b/>
          <w:sz w:val="52"/>
          <w:szCs w:val="52"/>
        </w:rPr>
      </w:pPr>
    </w:p>
    <w:p w:rsidR="00900862" w:rsidRDefault="00900862">
      <w:pPr>
        <w:adjustRightInd w:val="0"/>
        <w:spacing w:line="480" w:lineRule="exact"/>
      </w:pPr>
      <w:bookmarkStart w:id="0" w:name="_GoBack"/>
      <w:bookmarkEnd w:id="0"/>
      <w:r>
        <w:pict>
          <v:shapetype id="_x0000_t202" coordsize="21600,21600" o:spt="202" path="m,l,21600r21600,l21600,xe">
            <v:stroke joinstyle="miter"/>
            <v:path gradientshapeok="t" o:connecttype="rect"/>
          </v:shapetype>
          <v:shape id="_x0000_s1026" type="#_x0000_t202" style="position:absolute;left:0;text-align:left;margin-left:189pt;margin-top:508.8pt;width:113.4pt;height:15.6pt;z-index:251657216;mso-position-horizontal-relative:page;mso-position-vertical-relative:page" stroked="f" strokecolor="#f60">
            <v:textbox inset="0,0,0,0">
              <w:txbxContent>
                <w:p w:rsidR="00900862" w:rsidRDefault="00900862"/>
              </w:txbxContent>
            </v:textbox>
            <w10:wrap anchorx="page" anchory="page"/>
          </v:shape>
        </w:pict>
      </w:r>
      <w:r>
        <w:pict>
          <v:shape id="_x0000_s1027" type="#_x0000_t202" style="position:absolute;left:0;text-align:left;margin-left:4in;margin-top:540.6pt;width:113.4pt;height:15.6pt;z-index:251658240;mso-position-horizontal-relative:page;mso-position-vertical-relative:page" stroked="f" strokecolor="#f60">
            <v:textbox inset="0,0,0,0">
              <w:txbxContent>
                <w:p w:rsidR="00900862" w:rsidRDefault="00900862"/>
              </w:txbxContent>
            </v:textbox>
            <w10:wrap anchorx="page" anchory="page"/>
          </v:shape>
        </w:pict>
      </w:r>
    </w:p>
    <w:p w:rsidR="00900862" w:rsidRDefault="00900862">
      <w:pPr>
        <w:adjustRightInd w:val="0"/>
        <w:spacing w:line="480" w:lineRule="exact"/>
      </w:pPr>
    </w:p>
    <w:p w:rsidR="00900862" w:rsidRDefault="00900862">
      <w:pPr>
        <w:adjustRightInd w:val="0"/>
        <w:spacing w:line="480" w:lineRule="exact"/>
        <w:rPr>
          <w:rFonts w:eastAsia="黑体"/>
          <w:b/>
          <w:sz w:val="52"/>
          <w:szCs w:val="52"/>
        </w:rPr>
      </w:pPr>
    </w:p>
    <w:p w:rsidR="00900862" w:rsidRDefault="00900862">
      <w:pPr>
        <w:adjustRightInd w:val="0"/>
        <w:spacing w:line="480" w:lineRule="exact"/>
        <w:rPr>
          <w:rFonts w:eastAsia="黑体"/>
          <w:b/>
          <w:sz w:val="52"/>
          <w:szCs w:val="52"/>
        </w:rPr>
      </w:pPr>
    </w:p>
    <w:p w:rsidR="00900862" w:rsidRDefault="00900862">
      <w:pPr>
        <w:adjustRightInd w:val="0"/>
        <w:spacing w:line="480" w:lineRule="exact"/>
        <w:jc w:val="left"/>
        <w:rPr>
          <w:rFonts w:eastAsia="黑体"/>
          <w:sz w:val="24"/>
        </w:rPr>
      </w:pPr>
    </w:p>
    <w:p w:rsidR="00900862" w:rsidRDefault="0011126E" w:rsidP="006272E9">
      <w:pPr>
        <w:adjustRightInd w:val="0"/>
        <w:spacing w:line="480" w:lineRule="exact"/>
        <w:jc w:val="center"/>
        <w:rPr>
          <w:rFonts w:eastAsia="方正小标宋简体"/>
          <w:sz w:val="32"/>
          <w:szCs w:val="32"/>
        </w:rPr>
      </w:pPr>
      <w:r>
        <w:rPr>
          <w:rFonts w:eastAsia="黑体"/>
          <w:sz w:val="24"/>
        </w:rPr>
        <w:t>2020-</w:t>
      </w:r>
      <w:r w:rsidR="006272E9">
        <w:rPr>
          <w:rFonts w:eastAsia="黑体"/>
          <w:sz w:val="24"/>
        </w:rPr>
        <w:t>0</w:t>
      </w:r>
      <w:r w:rsidR="006272E9">
        <w:rPr>
          <w:rFonts w:eastAsia="黑体" w:hint="eastAsia"/>
          <w:sz w:val="24"/>
        </w:rPr>
        <w:t>9</w:t>
      </w:r>
      <w:r>
        <w:rPr>
          <w:rFonts w:eastAsia="黑体"/>
          <w:sz w:val="24"/>
        </w:rPr>
        <w:t>-</w:t>
      </w:r>
      <w:r>
        <w:rPr>
          <w:rFonts w:eastAsia="黑体"/>
          <w:sz w:val="24"/>
        </w:rPr>
        <w:t>发布</w:t>
      </w:r>
      <w:r>
        <w:rPr>
          <w:rFonts w:eastAsia="黑体"/>
          <w:sz w:val="24"/>
        </w:rPr>
        <w:t xml:space="preserve">                                       2020-</w:t>
      </w:r>
      <w:r w:rsidR="006272E9">
        <w:rPr>
          <w:rFonts w:eastAsia="黑体"/>
          <w:sz w:val="24"/>
        </w:rPr>
        <w:t>0</w:t>
      </w:r>
      <w:r w:rsidR="006272E9">
        <w:rPr>
          <w:rFonts w:eastAsia="黑体" w:hint="eastAsia"/>
          <w:sz w:val="24"/>
        </w:rPr>
        <w:t>9</w:t>
      </w:r>
      <w:r>
        <w:rPr>
          <w:rFonts w:eastAsia="黑体"/>
          <w:sz w:val="24"/>
        </w:rPr>
        <w:t>-</w:t>
      </w:r>
      <w:r>
        <w:rPr>
          <w:rFonts w:eastAsia="黑体"/>
          <w:sz w:val="24"/>
        </w:rPr>
        <w:t>实施</w:t>
      </w:r>
    </w:p>
    <w:tbl>
      <w:tblPr>
        <w:tblStyle w:val="ab"/>
        <w:tblW w:w="8400" w:type="dxa"/>
        <w:tblBorders>
          <w:top w:val="single" w:sz="4" w:space="0" w:color="auto"/>
          <w:left w:val="none" w:sz="0" w:space="0" w:color="auto"/>
          <w:bottom w:val="none" w:sz="0" w:space="0" w:color="auto"/>
          <w:right w:val="none" w:sz="0" w:space="0" w:color="auto"/>
          <w:insideH w:val="single" w:sz="4" w:space="0" w:color="auto"/>
          <w:insideV w:val="none" w:sz="0" w:space="0" w:color="auto"/>
        </w:tblBorders>
        <w:tblLayout w:type="fixed"/>
        <w:tblLook w:val="04A0"/>
      </w:tblPr>
      <w:tblGrid>
        <w:gridCol w:w="8400"/>
      </w:tblGrid>
      <w:tr w:rsidR="00900862">
        <w:trPr>
          <w:trHeight w:val="664"/>
        </w:trPr>
        <w:tc>
          <w:tcPr>
            <w:tcW w:w="8400" w:type="dxa"/>
            <w:tcBorders>
              <w:tl2br w:val="nil"/>
              <w:tr2bl w:val="nil"/>
            </w:tcBorders>
          </w:tcPr>
          <w:p w:rsidR="00900862" w:rsidRDefault="0011126E">
            <w:pPr>
              <w:adjustRightInd w:val="0"/>
              <w:snapToGrid w:val="0"/>
              <w:spacing w:line="360" w:lineRule="auto"/>
              <w:jc w:val="center"/>
              <w:rPr>
                <w:rFonts w:eastAsia="方正小标宋简体"/>
                <w:sz w:val="32"/>
                <w:szCs w:val="32"/>
              </w:rPr>
            </w:pPr>
            <w:r>
              <w:rPr>
                <w:rFonts w:eastAsia="方正小标宋简体" w:hint="eastAsia"/>
                <w:sz w:val="32"/>
                <w:szCs w:val="32"/>
              </w:rPr>
              <w:t>新疆生产建设兵团市场监督管理局</w:t>
            </w:r>
          </w:p>
        </w:tc>
      </w:tr>
    </w:tbl>
    <w:p w:rsidR="00900862" w:rsidRDefault="00900862">
      <w:pPr>
        <w:adjustRightInd w:val="0"/>
        <w:snapToGrid w:val="0"/>
        <w:spacing w:line="360" w:lineRule="auto"/>
        <w:jc w:val="center"/>
        <w:rPr>
          <w:rFonts w:eastAsia="方正小标宋简体"/>
          <w:sz w:val="32"/>
          <w:szCs w:val="32"/>
        </w:rPr>
        <w:sectPr w:rsidR="00900862">
          <w:headerReference w:type="default" r:id="rId7"/>
          <w:footerReference w:type="even" r:id="rId8"/>
          <w:footerReference w:type="default" r:id="rId9"/>
          <w:pgSz w:w="11906" w:h="16838"/>
          <w:pgMar w:top="1984" w:right="1361" w:bottom="1361" w:left="1588" w:header="851" w:footer="992" w:gutter="0"/>
          <w:cols w:space="0"/>
          <w:docGrid w:type="lines" w:linePitch="312"/>
        </w:sectPr>
      </w:pPr>
    </w:p>
    <w:p w:rsidR="00900862" w:rsidRDefault="0011126E">
      <w:pPr>
        <w:adjustRightInd w:val="0"/>
        <w:snapToGrid w:val="0"/>
        <w:spacing w:line="360" w:lineRule="auto"/>
        <w:jc w:val="center"/>
        <w:rPr>
          <w:rFonts w:eastAsia="方正小标宋简体"/>
          <w:sz w:val="32"/>
          <w:szCs w:val="32"/>
        </w:rPr>
      </w:pPr>
      <w:r>
        <w:rPr>
          <w:rFonts w:eastAsia="方正小标宋简体"/>
          <w:sz w:val="32"/>
          <w:szCs w:val="32"/>
        </w:rPr>
        <w:lastRenderedPageBreak/>
        <w:t>2020</w:t>
      </w:r>
      <w:r>
        <w:rPr>
          <w:rFonts w:eastAsia="方正小标宋简体"/>
          <w:sz w:val="32"/>
          <w:szCs w:val="32"/>
        </w:rPr>
        <w:t>年新疆生产建设兵团平板玻璃产品质量监督抽查实施细则</w:t>
      </w:r>
    </w:p>
    <w:p w:rsidR="00900862" w:rsidRDefault="0011126E">
      <w:pPr>
        <w:adjustRightInd w:val="0"/>
        <w:snapToGrid w:val="0"/>
        <w:spacing w:line="360" w:lineRule="auto"/>
        <w:rPr>
          <w:rFonts w:eastAsia="黑体"/>
          <w:b/>
          <w:szCs w:val="21"/>
        </w:rPr>
      </w:pPr>
      <w:r>
        <w:rPr>
          <w:rFonts w:eastAsia="黑体"/>
          <w:b/>
          <w:szCs w:val="21"/>
        </w:rPr>
        <w:t xml:space="preserve">1 </w:t>
      </w:r>
      <w:r>
        <w:rPr>
          <w:rFonts w:eastAsia="黑体"/>
          <w:b/>
          <w:szCs w:val="21"/>
        </w:rPr>
        <w:t>抽样方法</w:t>
      </w:r>
    </w:p>
    <w:p w:rsidR="00900862" w:rsidRDefault="0011126E">
      <w:pPr>
        <w:spacing w:line="360" w:lineRule="auto"/>
        <w:ind w:firstLineChars="200" w:firstLine="420"/>
        <w:rPr>
          <w:color w:val="000000"/>
          <w:szCs w:val="21"/>
        </w:rPr>
      </w:pPr>
      <w:r>
        <w:rPr>
          <w:rFonts w:hAnsi="宋体" w:hint="eastAsia"/>
          <w:color w:val="000000"/>
          <w:szCs w:val="21"/>
        </w:rPr>
        <w:t>抽样范围为新疆生产建设兵团辖区内生产企业，</w:t>
      </w:r>
      <w:r>
        <w:rPr>
          <w:color w:val="000000"/>
          <w:szCs w:val="21"/>
        </w:rPr>
        <w:t>在企业的成品库里随机抽取有产品质量检验合格证明或者以其他形式表明合格的</w:t>
      </w:r>
      <w:r>
        <w:rPr>
          <w:rFonts w:hint="eastAsia"/>
          <w:color w:val="000000"/>
          <w:szCs w:val="21"/>
        </w:rPr>
        <w:t>，</w:t>
      </w:r>
      <w:r>
        <w:rPr>
          <w:color w:val="000000"/>
          <w:szCs w:val="21"/>
        </w:rPr>
        <w:t>十二个月以内（由抽样机构到企业抽样日期倒推）生产的产品。</w:t>
      </w:r>
    </w:p>
    <w:p w:rsidR="00900862" w:rsidRDefault="0011126E">
      <w:pPr>
        <w:spacing w:line="360" w:lineRule="auto"/>
        <w:ind w:firstLineChars="200" w:firstLine="420"/>
        <w:rPr>
          <w:bCs/>
          <w:szCs w:val="21"/>
        </w:rPr>
      </w:pPr>
      <w:r>
        <w:rPr>
          <w:szCs w:val="21"/>
        </w:rPr>
        <w:t>抽取样品应为</w:t>
      </w:r>
      <w:r>
        <w:rPr>
          <w:kern w:val="0"/>
          <w:szCs w:val="21"/>
          <w:lang w:val="zh-CN"/>
        </w:rPr>
        <w:t>同一生产企业生产的同一种类、</w:t>
      </w:r>
      <w:r>
        <w:rPr>
          <w:szCs w:val="21"/>
        </w:rPr>
        <w:t>同一型号规格、同一批次的产品。</w:t>
      </w:r>
    </w:p>
    <w:p w:rsidR="00900862" w:rsidRDefault="0011126E">
      <w:pPr>
        <w:spacing w:line="360" w:lineRule="auto"/>
        <w:ind w:firstLineChars="200" w:firstLine="420"/>
        <w:rPr>
          <w:rFonts w:eastAsiaTheme="minorEastAsia"/>
          <w:szCs w:val="21"/>
        </w:rPr>
      </w:pPr>
      <w:r>
        <w:rPr>
          <w:bCs/>
          <w:color w:val="000000"/>
          <w:szCs w:val="21"/>
        </w:rPr>
        <w:t>严格按照相关产品标准中有关抽样规则进行样品采取，</w:t>
      </w:r>
      <w:r>
        <w:rPr>
          <w:rFonts w:eastAsiaTheme="minorEastAsia"/>
          <w:szCs w:val="21"/>
        </w:rPr>
        <w:t>在同一厚度、同一尺寸、同一等级、同一颜色</w:t>
      </w:r>
      <w:r>
        <w:rPr>
          <w:rFonts w:eastAsiaTheme="minorEastAsia"/>
          <w:szCs w:val="21"/>
        </w:rPr>
        <w:t>91</w:t>
      </w:r>
      <w:r>
        <w:rPr>
          <w:rFonts w:eastAsiaTheme="minorEastAsia"/>
          <w:szCs w:val="21"/>
        </w:rPr>
        <w:t>片至</w:t>
      </w:r>
      <w:r>
        <w:rPr>
          <w:rFonts w:eastAsiaTheme="minorEastAsia"/>
          <w:szCs w:val="21"/>
        </w:rPr>
        <w:t>150</w:t>
      </w:r>
      <w:r>
        <w:rPr>
          <w:rFonts w:eastAsiaTheme="minorEastAsia"/>
          <w:szCs w:val="21"/>
        </w:rPr>
        <w:t>片随机抽取</w:t>
      </w:r>
      <w:r>
        <w:rPr>
          <w:rFonts w:eastAsiaTheme="minorEastAsia"/>
          <w:szCs w:val="21"/>
        </w:rPr>
        <w:t>20</w:t>
      </w:r>
      <w:r>
        <w:rPr>
          <w:rFonts w:eastAsiaTheme="minorEastAsia"/>
          <w:szCs w:val="21"/>
        </w:rPr>
        <w:t>片。</w:t>
      </w:r>
    </w:p>
    <w:p w:rsidR="00900862" w:rsidRDefault="0011126E">
      <w:pPr>
        <w:spacing w:line="360" w:lineRule="auto"/>
        <w:ind w:firstLineChars="200" w:firstLine="420"/>
        <w:rPr>
          <w:bCs/>
          <w:color w:val="000000"/>
          <w:szCs w:val="21"/>
        </w:rPr>
      </w:pPr>
      <w:r>
        <w:rPr>
          <w:rFonts w:eastAsiaTheme="minorEastAsia"/>
        </w:rPr>
        <w:t>平板玻璃监督抽查不需要备用样品。平板玻璃的检查是无损伤、非破坏性的检验，检验不改变其品性。</w:t>
      </w:r>
    </w:p>
    <w:p w:rsidR="00900862" w:rsidRDefault="0011126E">
      <w:pPr>
        <w:pStyle w:val="a4"/>
        <w:spacing w:before="0" w:beforeAutospacing="0" w:after="0" w:afterAutospacing="0" w:line="360" w:lineRule="auto"/>
        <w:ind w:firstLineChars="200" w:firstLine="420"/>
        <w:jc w:val="both"/>
        <w:rPr>
          <w:rFonts w:ascii="Times New Roman" w:eastAsia="黑体" w:hAnsi="Times New Roman" w:cs="Times New Roman"/>
          <w:kern w:val="2"/>
          <w:sz w:val="21"/>
          <w:szCs w:val="21"/>
        </w:rPr>
      </w:pPr>
      <w:r>
        <w:rPr>
          <w:rFonts w:ascii="Times New Roman" w:eastAsia="黑体" w:hAnsi="Times New Roman" w:cs="Times New Roman"/>
          <w:kern w:val="2"/>
          <w:sz w:val="21"/>
          <w:szCs w:val="21"/>
        </w:rPr>
        <w:t>对</w:t>
      </w:r>
      <w:r>
        <w:rPr>
          <w:rFonts w:ascii="Times New Roman" w:eastAsiaTheme="minorEastAsia" w:hAnsi="Times New Roman" w:cs="Times New Roman"/>
          <w:kern w:val="2"/>
          <w:sz w:val="21"/>
          <w:szCs w:val="21"/>
        </w:rPr>
        <w:t>随机抽取的</w:t>
      </w:r>
      <w:r>
        <w:rPr>
          <w:rFonts w:ascii="Times New Roman" w:eastAsiaTheme="minorEastAsia" w:hAnsi="Times New Roman" w:cs="Times New Roman"/>
          <w:kern w:val="2"/>
          <w:sz w:val="21"/>
          <w:szCs w:val="21"/>
        </w:rPr>
        <w:t>20</w:t>
      </w:r>
      <w:r>
        <w:rPr>
          <w:rFonts w:ascii="Times New Roman" w:eastAsiaTheme="minorEastAsia" w:hAnsi="Times New Roman" w:cs="Times New Roman"/>
          <w:kern w:val="2"/>
          <w:sz w:val="21"/>
          <w:szCs w:val="21"/>
        </w:rPr>
        <w:t>片样品，按顺序编号，每片上裁出</w:t>
      </w:r>
      <w:r>
        <w:rPr>
          <w:rFonts w:ascii="Times New Roman" w:eastAsiaTheme="minorEastAsia" w:hAnsi="Times New Roman" w:cs="Times New Roman"/>
          <w:kern w:val="2"/>
          <w:sz w:val="21"/>
          <w:szCs w:val="21"/>
        </w:rPr>
        <w:t>1200mm×600mm</w:t>
      </w:r>
      <w:r>
        <w:rPr>
          <w:rFonts w:ascii="Times New Roman" w:eastAsiaTheme="minorEastAsia" w:hAnsi="Times New Roman" w:cs="Times New Roman"/>
          <w:kern w:val="2"/>
          <w:sz w:val="21"/>
          <w:szCs w:val="21"/>
        </w:rPr>
        <w:t>一块，做为检验样品。裁切时，奇数片取左下角，偶数片取右上角。检验样品的长边为原片的长边，检验样品的短边为原片的短边，参见图</w:t>
      </w:r>
      <w:r>
        <w:rPr>
          <w:rFonts w:ascii="Times New Roman" w:eastAsiaTheme="minorEastAsia" w:hAnsi="Times New Roman" w:cs="Times New Roman"/>
          <w:kern w:val="2"/>
          <w:sz w:val="21"/>
          <w:szCs w:val="21"/>
        </w:rPr>
        <w:t>1</w:t>
      </w:r>
      <w:r>
        <w:rPr>
          <w:rFonts w:ascii="Times New Roman" w:eastAsiaTheme="minorEastAsia" w:hAnsi="Times New Roman" w:cs="Times New Roman"/>
          <w:kern w:val="2"/>
          <w:sz w:val="21"/>
          <w:szCs w:val="21"/>
        </w:rPr>
        <w:t>。</w:t>
      </w:r>
    </w:p>
    <w:p w:rsidR="00900862" w:rsidRDefault="0011126E">
      <w:pPr>
        <w:spacing w:line="360" w:lineRule="auto"/>
        <w:ind w:firstLineChars="200" w:firstLine="420"/>
        <w:rPr>
          <w:bCs/>
          <w:color w:val="000000"/>
          <w:szCs w:val="21"/>
        </w:rPr>
      </w:pPr>
      <w:r>
        <w:rPr>
          <w:bCs/>
          <w:noProof/>
          <w:color w:val="000000"/>
          <w:szCs w:val="21"/>
        </w:rPr>
        <w:drawing>
          <wp:anchor distT="0" distB="0" distL="114300" distR="114300" simplePos="0" relativeHeight="251660288" behindDoc="0" locked="0" layoutInCell="1" allowOverlap="1">
            <wp:simplePos x="0" y="0"/>
            <wp:positionH relativeFrom="column">
              <wp:posOffset>3252470</wp:posOffset>
            </wp:positionH>
            <wp:positionV relativeFrom="paragraph">
              <wp:posOffset>252095</wp:posOffset>
            </wp:positionV>
            <wp:extent cx="1714500" cy="2165350"/>
            <wp:effectExtent l="19050" t="0" r="0" b="0"/>
            <wp:wrapNone/>
            <wp:docPr id="4" name="图片 4" descr="C:\Users\zxw\Desktop\QQ图片20190822102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zxw\Desktop\QQ图片20190822102207.png"/>
                    <pic:cNvPicPr>
                      <a:picLocks noChangeAspect="1" noChangeArrowheads="1"/>
                    </pic:cNvPicPr>
                  </pic:nvPicPr>
                  <pic:blipFill>
                    <a:blip r:embed="rId10" cstate="print"/>
                    <a:srcRect/>
                    <a:stretch>
                      <a:fillRect/>
                    </a:stretch>
                  </pic:blipFill>
                  <pic:spPr>
                    <a:xfrm>
                      <a:off x="0" y="0"/>
                      <a:ext cx="1714500" cy="2165350"/>
                    </a:xfrm>
                    <a:prstGeom prst="rect">
                      <a:avLst/>
                    </a:prstGeom>
                    <a:noFill/>
                    <a:ln w="9525">
                      <a:noFill/>
                      <a:miter lim="800000"/>
                      <a:headEnd/>
                      <a:tailEnd/>
                    </a:ln>
                  </pic:spPr>
                </pic:pic>
              </a:graphicData>
            </a:graphic>
          </wp:anchor>
        </w:drawing>
      </w:r>
      <w:r>
        <w:rPr>
          <w:bCs/>
          <w:noProof/>
          <w:color w:val="000000"/>
          <w:szCs w:val="21"/>
        </w:rPr>
        <w:drawing>
          <wp:anchor distT="0" distB="0" distL="114300" distR="114300" simplePos="0" relativeHeight="251659264" behindDoc="0" locked="0" layoutInCell="1" allowOverlap="1">
            <wp:simplePos x="0" y="0"/>
            <wp:positionH relativeFrom="column">
              <wp:posOffset>585470</wp:posOffset>
            </wp:positionH>
            <wp:positionV relativeFrom="paragraph">
              <wp:posOffset>250190</wp:posOffset>
            </wp:positionV>
            <wp:extent cx="1581150" cy="21653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srcRect/>
                    <a:stretch>
                      <a:fillRect/>
                    </a:stretch>
                  </pic:blipFill>
                  <pic:spPr>
                    <a:xfrm>
                      <a:off x="0" y="0"/>
                      <a:ext cx="1581150" cy="2165350"/>
                    </a:xfrm>
                    <a:prstGeom prst="rect">
                      <a:avLst/>
                    </a:prstGeom>
                    <a:noFill/>
                    <a:ln w="9525">
                      <a:noFill/>
                      <a:miter lim="800000"/>
                      <a:headEnd/>
                      <a:tailEnd/>
                    </a:ln>
                  </pic:spPr>
                </pic:pic>
              </a:graphicData>
            </a:graphic>
          </wp:anchor>
        </w:drawing>
      </w:r>
    </w:p>
    <w:p w:rsidR="00900862" w:rsidRDefault="00900862">
      <w:pPr>
        <w:spacing w:line="440" w:lineRule="exact"/>
        <w:ind w:firstLineChars="200" w:firstLine="420"/>
        <w:rPr>
          <w:bCs/>
          <w:color w:val="000000"/>
          <w:szCs w:val="21"/>
        </w:rPr>
      </w:pPr>
    </w:p>
    <w:p w:rsidR="00900862" w:rsidRDefault="00900862">
      <w:pPr>
        <w:spacing w:line="440" w:lineRule="exact"/>
        <w:ind w:firstLineChars="200" w:firstLine="420"/>
        <w:rPr>
          <w:bCs/>
          <w:color w:val="000000"/>
          <w:szCs w:val="21"/>
        </w:rPr>
      </w:pPr>
    </w:p>
    <w:p w:rsidR="00900862" w:rsidRDefault="00900862">
      <w:pPr>
        <w:spacing w:line="440" w:lineRule="exact"/>
        <w:ind w:firstLineChars="200" w:firstLine="420"/>
        <w:rPr>
          <w:bCs/>
          <w:color w:val="000000"/>
          <w:szCs w:val="21"/>
        </w:rPr>
      </w:pPr>
    </w:p>
    <w:p w:rsidR="00900862" w:rsidRDefault="00900862">
      <w:pPr>
        <w:spacing w:line="440" w:lineRule="exact"/>
        <w:ind w:firstLineChars="200" w:firstLine="420"/>
        <w:rPr>
          <w:bCs/>
          <w:color w:val="000000"/>
          <w:szCs w:val="21"/>
        </w:rPr>
      </w:pPr>
    </w:p>
    <w:p w:rsidR="00900862" w:rsidRDefault="00900862">
      <w:pPr>
        <w:spacing w:line="440" w:lineRule="exact"/>
        <w:ind w:firstLineChars="200" w:firstLine="420"/>
        <w:rPr>
          <w:bCs/>
          <w:color w:val="000000"/>
          <w:szCs w:val="21"/>
        </w:rPr>
      </w:pPr>
    </w:p>
    <w:p w:rsidR="00900862" w:rsidRDefault="00900862">
      <w:pPr>
        <w:spacing w:line="440" w:lineRule="exact"/>
        <w:ind w:firstLineChars="200" w:firstLine="420"/>
        <w:rPr>
          <w:bCs/>
          <w:color w:val="000000"/>
          <w:szCs w:val="21"/>
        </w:rPr>
      </w:pPr>
    </w:p>
    <w:p w:rsidR="00900862" w:rsidRDefault="00900862">
      <w:pPr>
        <w:spacing w:line="440" w:lineRule="exact"/>
        <w:ind w:firstLineChars="200" w:firstLine="420"/>
        <w:rPr>
          <w:bCs/>
          <w:color w:val="000000"/>
          <w:szCs w:val="21"/>
        </w:rPr>
      </w:pPr>
    </w:p>
    <w:p w:rsidR="00900862" w:rsidRDefault="00900862">
      <w:pPr>
        <w:spacing w:line="440" w:lineRule="exact"/>
        <w:ind w:firstLineChars="200" w:firstLine="420"/>
        <w:rPr>
          <w:bCs/>
          <w:color w:val="000000"/>
          <w:szCs w:val="21"/>
        </w:rPr>
      </w:pPr>
    </w:p>
    <w:p w:rsidR="00900862" w:rsidRDefault="0011126E">
      <w:pPr>
        <w:spacing w:line="440" w:lineRule="exact"/>
        <w:ind w:firstLineChars="700" w:firstLine="1470"/>
        <w:rPr>
          <w:rFonts w:eastAsia="黑体"/>
          <w:szCs w:val="21"/>
        </w:rPr>
      </w:pPr>
      <w:r>
        <w:rPr>
          <w:rFonts w:eastAsia="黑体"/>
          <w:szCs w:val="21"/>
        </w:rPr>
        <w:t>a)</w:t>
      </w:r>
      <w:r>
        <w:rPr>
          <w:rFonts w:eastAsia="黑体"/>
          <w:szCs w:val="21"/>
        </w:rPr>
        <w:t>奇数片</w:t>
      </w:r>
      <w:r>
        <w:rPr>
          <w:rFonts w:eastAsia="黑体"/>
          <w:szCs w:val="21"/>
        </w:rPr>
        <w:t xml:space="preserve">                                   b)</w:t>
      </w:r>
      <w:r>
        <w:rPr>
          <w:rFonts w:eastAsia="黑体"/>
          <w:szCs w:val="21"/>
        </w:rPr>
        <w:t>偶数片</w:t>
      </w:r>
    </w:p>
    <w:p w:rsidR="00900862" w:rsidRDefault="00900862">
      <w:pPr>
        <w:spacing w:line="440" w:lineRule="exact"/>
        <w:ind w:firstLineChars="200" w:firstLine="420"/>
        <w:rPr>
          <w:rFonts w:eastAsia="黑体"/>
          <w:szCs w:val="21"/>
        </w:rPr>
      </w:pPr>
    </w:p>
    <w:p w:rsidR="00900862" w:rsidRDefault="0011126E" w:rsidP="006272E9">
      <w:pPr>
        <w:spacing w:line="440" w:lineRule="exact"/>
        <w:ind w:firstLineChars="200" w:firstLine="360"/>
        <w:rPr>
          <w:bCs/>
          <w:color w:val="000000"/>
          <w:sz w:val="18"/>
          <w:szCs w:val="18"/>
        </w:rPr>
      </w:pPr>
      <w:r>
        <w:rPr>
          <w:rFonts w:eastAsia="黑体"/>
          <w:sz w:val="18"/>
          <w:szCs w:val="18"/>
        </w:rPr>
        <w:t xml:space="preserve">  </w:t>
      </w:r>
      <w:r>
        <w:rPr>
          <w:rFonts w:eastAsia="黑体"/>
          <w:sz w:val="18"/>
          <w:szCs w:val="18"/>
        </w:rPr>
        <w:t>图</w:t>
      </w:r>
      <w:r>
        <w:rPr>
          <w:rFonts w:eastAsia="黑体"/>
          <w:sz w:val="18"/>
          <w:szCs w:val="18"/>
        </w:rPr>
        <w:t xml:space="preserve">1 </w:t>
      </w:r>
      <w:r>
        <w:rPr>
          <w:rFonts w:eastAsia="黑体"/>
          <w:sz w:val="18"/>
          <w:szCs w:val="18"/>
        </w:rPr>
        <w:t>取样部位示意图</w:t>
      </w:r>
    </w:p>
    <w:p w:rsidR="00900862" w:rsidRDefault="00900862">
      <w:pPr>
        <w:adjustRightInd w:val="0"/>
        <w:snapToGrid w:val="0"/>
        <w:spacing w:line="360" w:lineRule="auto"/>
        <w:ind w:firstLineChars="200" w:firstLine="420"/>
        <w:rPr>
          <w:color w:val="000000"/>
          <w:szCs w:val="21"/>
        </w:rPr>
      </w:pPr>
    </w:p>
    <w:p w:rsidR="00900862" w:rsidRDefault="0011126E">
      <w:pPr>
        <w:adjustRightInd w:val="0"/>
        <w:snapToGrid w:val="0"/>
        <w:spacing w:line="360" w:lineRule="auto"/>
        <w:ind w:firstLineChars="200" w:firstLine="420"/>
        <w:rPr>
          <w:color w:val="000000"/>
          <w:szCs w:val="21"/>
        </w:rPr>
      </w:pPr>
      <w:r>
        <w:rPr>
          <w:color w:val="000000"/>
          <w:szCs w:val="21"/>
        </w:rPr>
        <w:t>随机数一般可使用扑克牌法产生。</w:t>
      </w:r>
    </w:p>
    <w:p w:rsidR="00900862" w:rsidRDefault="00900862">
      <w:pPr>
        <w:adjustRightInd w:val="0"/>
        <w:snapToGrid w:val="0"/>
        <w:spacing w:line="360" w:lineRule="auto"/>
        <w:ind w:firstLineChars="200" w:firstLine="422"/>
        <w:rPr>
          <w:rFonts w:eastAsia="黑体"/>
          <w:b/>
          <w:szCs w:val="21"/>
        </w:rPr>
      </w:pPr>
    </w:p>
    <w:p w:rsidR="00900862" w:rsidRDefault="0011126E">
      <w:pPr>
        <w:adjustRightInd w:val="0"/>
        <w:snapToGrid w:val="0"/>
        <w:spacing w:line="360" w:lineRule="auto"/>
        <w:rPr>
          <w:rFonts w:eastAsia="黑体"/>
          <w:b/>
          <w:szCs w:val="21"/>
        </w:rPr>
      </w:pPr>
      <w:r>
        <w:rPr>
          <w:rFonts w:eastAsia="黑体"/>
          <w:b/>
          <w:szCs w:val="21"/>
        </w:rPr>
        <w:t xml:space="preserve">2 </w:t>
      </w:r>
      <w:r>
        <w:rPr>
          <w:rFonts w:eastAsia="黑体"/>
          <w:b/>
          <w:szCs w:val="21"/>
        </w:rPr>
        <w:t>检验依据</w:t>
      </w:r>
    </w:p>
    <w:p w:rsidR="00900862" w:rsidRDefault="0011126E">
      <w:pPr>
        <w:snapToGrid w:val="0"/>
        <w:spacing w:line="360" w:lineRule="auto"/>
        <w:ind w:firstLineChars="200" w:firstLine="420"/>
        <w:rPr>
          <w:color w:val="000000"/>
          <w:szCs w:val="21"/>
        </w:rPr>
      </w:pPr>
      <w:r>
        <w:rPr>
          <w:color w:val="000000"/>
          <w:szCs w:val="21"/>
        </w:rPr>
        <w:t>检验项目见表</w:t>
      </w:r>
      <w:r>
        <w:rPr>
          <w:color w:val="000000"/>
          <w:szCs w:val="21"/>
        </w:rPr>
        <w:t>1</w:t>
      </w:r>
      <w:r>
        <w:rPr>
          <w:rFonts w:hint="eastAsia"/>
          <w:color w:val="000000"/>
          <w:szCs w:val="21"/>
        </w:rPr>
        <w:t>。</w:t>
      </w:r>
    </w:p>
    <w:p w:rsidR="00900862" w:rsidRDefault="00900862">
      <w:pPr>
        <w:snapToGrid w:val="0"/>
        <w:spacing w:line="360" w:lineRule="auto"/>
        <w:jc w:val="center"/>
        <w:rPr>
          <w:bCs/>
          <w:color w:val="000000"/>
          <w:sz w:val="18"/>
          <w:szCs w:val="18"/>
        </w:rPr>
      </w:pPr>
    </w:p>
    <w:p w:rsidR="00900862" w:rsidRDefault="0011126E">
      <w:pPr>
        <w:snapToGrid w:val="0"/>
        <w:spacing w:line="360" w:lineRule="auto"/>
        <w:jc w:val="center"/>
        <w:rPr>
          <w:bCs/>
          <w:color w:val="000000"/>
          <w:sz w:val="18"/>
          <w:szCs w:val="18"/>
        </w:rPr>
      </w:pPr>
      <w:r>
        <w:rPr>
          <w:bCs/>
          <w:color w:val="000000"/>
          <w:sz w:val="18"/>
          <w:szCs w:val="18"/>
        </w:rPr>
        <w:lastRenderedPageBreak/>
        <w:t>表</w:t>
      </w:r>
      <w:r>
        <w:rPr>
          <w:bCs/>
          <w:color w:val="000000"/>
          <w:sz w:val="18"/>
          <w:szCs w:val="18"/>
        </w:rPr>
        <w:t xml:space="preserve">1  </w:t>
      </w:r>
      <w:r>
        <w:rPr>
          <w:bCs/>
          <w:color w:val="000000"/>
          <w:sz w:val="18"/>
          <w:szCs w:val="18"/>
        </w:rPr>
        <w:t>平板玻璃检验项目</w:t>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100"/>
        <w:gridCol w:w="1643"/>
        <w:gridCol w:w="2050"/>
        <w:gridCol w:w="850"/>
        <w:gridCol w:w="851"/>
      </w:tblGrid>
      <w:tr w:rsidR="00900862">
        <w:trPr>
          <w:trHeight w:val="420"/>
          <w:jc w:val="center"/>
        </w:trPr>
        <w:tc>
          <w:tcPr>
            <w:tcW w:w="709" w:type="dxa"/>
            <w:vMerge w:val="restart"/>
            <w:vAlign w:val="center"/>
          </w:tcPr>
          <w:p w:rsidR="00900862" w:rsidRDefault="0011126E">
            <w:pPr>
              <w:snapToGrid w:val="0"/>
              <w:jc w:val="center"/>
              <w:rPr>
                <w:rFonts w:eastAsia="黑体"/>
                <w:bCs/>
                <w:color w:val="000000"/>
                <w:sz w:val="18"/>
                <w:szCs w:val="18"/>
              </w:rPr>
            </w:pPr>
            <w:r>
              <w:rPr>
                <w:rFonts w:eastAsia="黑体"/>
                <w:bCs/>
                <w:color w:val="000000"/>
                <w:sz w:val="18"/>
                <w:szCs w:val="18"/>
              </w:rPr>
              <w:t>序号</w:t>
            </w:r>
          </w:p>
        </w:tc>
        <w:tc>
          <w:tcPr>
            <w:tcW w:w="3100" w:type="dxa"/>
            <w:vMerge w:val="restart"/>
            <w:vAlign w:val="center"/>
          </w:tcPr>
          <w:p w:rsidR="00900862" w:rsidRDefault="0011126E">
            <w:pPr>
              <w:snapToGrid w:val="0"/>
              <w:jc w:val="center"/>
              <w:rPr>
                <w:rFonts w:eastAsia="黑体"/>
                <w:bCs/>
                <w:color w:val="000000"/>
                <w:sz w:val="18"/>
                <w:szCs w:val="18"/>
              </w:rPr>
            </w:pPr>
            <w:r>
              <w:rPr>
                <w:rFonts w:eastAsia="黑体"/>
                <w:bCs/>
                <w:color w:val="000000"/>
                <w:sz w:val="18"/>
                <w:szCs w:val="18"/>
              </w:rPr>
              <w:t>检验项目</w:t>
            </w:r>
          </w:p>
        </w:tc>
        <w:tc>
          <w:tcPr>
            <w:tcW w:w="1643" w:type="dxa"/>
            <w:vMerge w:val="restart"/>
            <w:vAlign w:val="center"/>
          </w:tcPr>
          <w:p w:rsidR="00900862" w:rsidRDefault="0011126E">
            <w:pPr>
              <w:jc w:val="center"/>
              <w:rPr>
                <w:rFonts w:eastAsia="黑体"/>
                <w:sz w:val="18"/>
                <w:szCs w:val="18"/>
              </w:rPr>
            </w:pPr>
            <w:r>
              <w:rPr>
                <w:rFonts w:eastAsia="黑体"/>
                <w:sz w:val="18"/>
                <w:szCs w:val="18"/>
              </w:rPr>
              <w:t>判定依据</w:t>
            </w:r>
          </w:p>
        </w:tc>
        <w:tc>
          <w:tcPr>
            <w:tcW w:w="2050" w:type="dxa"/>
            <w:vMerge w:val="restart"/>
            <w:vAlign w:val="center"/>
          </w:tcPr>
          <w:p w:rsidR="00900862" w:rsidRDefault="0011126E">
            <w:pPr>
              <w:jc w:val="center"/>
              <w:rPr>
                <w:rFonts w:eastAsia="黑体"/>
                <w:sz w:val="18"/>
                <w:szCs w:val="18"/>
              </w:rPr>
            </w:pPr>
            <w:r>
              <w:rPr>
                <w:rFonts w:eastAsia="黑体"/>
                <w:sz w:val="18"/>
                <w:szCs w:val="18"/>
              </w:rPr>
              <w:t>检验方法</w:t>
            </w:r>
          </w:p>
        </w:tc>
        <w:tc>
          <w:tcPr>
            <w:tcW w:w="1701" w:type="dxa"/>
            <w:gridSpan w:val="2"/>
            <w:vAlign w:val="center"/>
          </w:tcPr>
          <w:p w:rsidR="00900862" w:rsidRDefault="0011126E">
            <w:pPr>
              <w:jc w:val="center"/>
              <w:rPr>
                <w:rFonts w:eastAsia="黑体" w:hAnsi="黑体"/>
                <w:sz w:val="18"/>
                <w:szCs w:val="18"/>
              </w:rPr>
            </w:pPr>
            <w:r>
              <w:rPr>
                <w:rFonts w:eastAsia="黑体" w:hAnsi="黑体" w:hint="eastAsia"/>
                <w:sz w:val="18"/>
                <w:szCs w:val="18"/>
              </w:rPr>
              <w:t>重要程度分类</w:t>
            </w:r>
          </w:p>
        </w:tc>
      </w:tr>
      <w:tr w:rsidR="00900862">
        <w:trPr>
          <w:trHeight w:val="420"/>
          <w:jc w:val="center"/>
        </w:trPr>
        <w:tc>
          <w:tcPr>
            <w:tcW w:w="709" w:type="dxa"/>
            <w:vMerge/>
            <w:vAlign w:val="center"/>
          </w:tcPr>
          <w:p w:rsidR="00900862" w:rsidRDefault="00900862">
            <w:pPr>
              <w:snapToGrid w:val="0"/>
              <w:jc w:val="center"/>
              <w:rPr>
                <w:rFonts w:eastAsia="黑体"/>
                <w:bCs/>
                <w:color w:val="000000"/>
                <w:sz w:val="18"/>
                <w:szCs w:val="18"/>
              </w:rPr>
            </w:pPr>
          </w:p>
        </w:tc>
        <w:tc>
          <w:tcPr>
            <w:tcW w:w="3100" w:type="dxa"/>
            <w:vMerge/>
            <w:vAlign w:val="center"/>
          </w:tcPr>
          <w:p w:rsidR="00900862" w:rsidRDefault="00900862">
            <w:pPr>
              <w:snapToGrid w:val="0"/>
              <w:jc w:val="center"/>
              <w:rPr>
                <w:rFonts w:eastAsia="黑体"/>
                <w:bCs/>
                <w:color w:val="000000"/>
                <w:sz w:val="18"/>
                <w:szCs w:val="18"/>
              </w:rPr>
            </w:pPr>
          </w:p>
        </w:tc>
        <w:tc>
          <w:tcPr>
            <w:tcW w:w="1643" w:type="dxa"/>
            <w:vMerge/>
            <w:vAlign w:val="center"/>
          </w:tcPr>
          <w:p w:rsidR="00900862" w:rsidRDefault="00900862">
            <w:pPr>
              <w:jc w:val="center"/>
              <w:rPr>
                <w:rFonts w:eastAsia="黑体"/>
                <w:sz w:val="18"/>
                <w:szCs w:val="18"/>
              </w:rPr>
            </w:pPr>
          </w:p>
        </w:tc>
        <w:tc>
          <w:tcPr>
            <w:tcW w:w="2050" w:type="dxa"/>
            <w:vMerge/>
            <w:vAlign w:val="center"/>
          </w:tcPr>
          <w:p w:rsidR="00900862" w:rsidRDefault="00900862">
            <w:pPr>
              <w:jc w:val="center"/>
              <w:rPr>
                <w:rFonts w:eastAsia="黑体"/>
                <w:sz w:val="18"/>
                <w:szCs w:val="18"/>
              </w:rPr>
            </w:pPr>
          </w:p>
        </w:tc>
        <w:tc>
          <w:tcPr>
            <w:tcW w:w="850" w:type="dxa"/>
            <w:vAlign w:val="center"/>
          </w:tcPr>
          <w:p w:rsidR="00900862" w:rsidRDefault="0011126E">
            <w:pPr>
              <w:jc w:val="center"/>
              <w:rPr>
                <w:rFonts w:eastAsia="黑体" w:hAnsi="黑体"/>
                <w:sz w:val="18"/>
                <w:szCs w:val="18"/>
              </w:rPr>
            </w:pPr>
            <w:r>
              <w:rPr>
                <w:rFonts w:eastAsia="黑体" w:hAnsi="黑体" w:hint="eastAsia"/>
                <w:sz w:val="18"/>
                <w:szCs w:val="18"/>
              </w:rPr>
              <w:t>A</w:t>
            </w:r>
            <w:r>
              <w:rPr>
                <w:rFonts w:eastAsia="黑体" w:hAnsi="黑体" w:hint="eastAsia"/>
                <w:sz w:val="18"/>
                <w:szCs w:val="18"/>
              </w:rPr>
              <w:t>类</w:t>
            </w:r>
            <w:r>
              <w:rPr>
                <w:rFonts w:eastAsia="黑体" w:hAnsi="黑体" w:hint="eastAsia"/>
                <w:sz w:val="18"/>
                <w:szCs w:val="18"/>
                <w:vertAlign w:val="superscript"/>
              </w:rPr>
              <w:t>a</w:t>
            </w:r>
          </w:p>
        </w:tc>
        <w:tc>
          <w:tcPr>
            <w:tcW w:w="851" w:type="dxa"/>
            <w:vAlign w:val="center"/>
          </w:tcPr>
          <w:p w:rsidR="00900862" w:rsidRDefault="0011126E">
            <w:pPr>
              <w:jc w:val="center"/>
              <w:rPr>
                <w:rFonts w:eastAsia="黑体" w:hAnsi="黑体"/>
                <w:sz w:val="18"/>
                <w:szCs w:val="18"/>
              </w:rPr>
            </w:pPr>
            <w:r>
              <w:rPr>
                <w:rFonts w:eastAsia="黑体" w:hAnsi="黑体" w:hint="eastAsia"/>
                <w:sz w:val="18"/>
                <w:szCs w:val="18"/>
              </w:rPr>
              <w:t>B</w:t>
            </w:r>
            <w:r>
              <w:rPr>
                <w:rFonts w:eastAsia="黑体" w:hAnsi="黑体" w:hint="eastAsia"/>
                <w:sz w:val="18"/>
                <w:szCs w:val="18"/>
              </w:rPr>
              <w:t>类</w:t>
            </w:r>
            <w:r>
              <w:rPr>
                <w:rFonts w:eastAsia="黑体" w:hAnsi="黑体" w:hint="eastAsia"/>
                <w:sz w:val="18"/>
                <w:szCs w:val="18"/>
                <w:vertAlign w:val="superscript"/>
              </w:rPr>
              <w:t>b</w:t>
            </w:r>
          </w:p>
        </w:tc>
      </w:tr>
      <w:tr w:rsidR="00900862">
        <w:trPr>
          <w:trHeight w:val="420"/>
          <w:jc w:val="center"/>
        </w:trPr>
        <w:tc>
          <w:tcPr>
            <w:tcW w:w="709" w:type="dxa"/>
            <w:vAlign w:val="center"/>
          </w:tcPr>
          <w:p w:rsidR="00900862" w:rsidRDefault="0011126E">
            <w:pPr>
              <w:snapToGrid w:val="0"/>
              <w:jc w:val="center"/>
              <w:rPr>
                <w:rFonts w:eastAsia="黑体"/>
                <w:bCs/>
                <w:color w:val="000000"/>
                <w:sz w:val="18"/>
                <w:szCs w:val="18"/>
              </w:rPr>
            </w:pPr>
            <w:r>
              <w:rPr>
                <w:rFonts w:eastAsia="黑体"/>
                <w:bCs/>
                <w:color w:val="000000"/>
                <w:sz w:val="18"/>
                <w:szCs w:val="18"/>
              </w:rPr>
              <w:t>1</w:t>
            </w:r>
          </w:p>
        </w:tc>
        <w:tc>
          <w:tcPr>
            <w:tcW w:w="3100" w:type="dxa"/>
            <w:vAlign w:val="center"/>
          </w:tcPr>
          <w:p w:rsidR="00900862" w:rsidRDefault="0011126E">
            <w:pPr>
              <w:widowControl/>
              <w:ind w:right="198"/>
              <w:jc w:val="center"/>
              <w:rPr>
                <w:rFonts w:eastAsia="黑体"/>
                <w:sz w:val="18"/>
                <w:szCs w:val="18"/>
              </w:rPr>
            </w:pPr>
            <w:r>
              <w:rPr>
                <w:rFonts w:eastAsia="黑体"/>
                <w:sz w:val="18"/>
                <w:szCs w:val="18"/>
              </w:rPr>
              <w:t>厚度偏差</w:t>
            </w:r>
          </w:p>
        </w:tc>
        <w:tc>
          <w:tcPr>
            <w:tcW w:w="1643" w:type="dxa"/>
            <w:vMerge w:val="restart"/>
            <w:vAlign w:val="center"/>
          </w:tcPr>
          <w:p w:rsidR="00900862" w:rsidRDefault="0011126E">
            <w:pPr>
              <w:snapToGrid w:val="0"/>
              <w:jc w:val="center"/>
              <w:rPr>
                <w:rFonts w:eastAsia="黑体"/>
                <w:bCs/>
                <w:color w:val="000000"/>
                <w:sz w:val="18"/>
                <w:szCs w:val="18"/>
              </w:rPr>
            </w:pPr>
            <w:r>
              <w:rPr>
                <w:rFonts w:eastAsia="黑体"/>
                <w:sz w:val="18"/>
                <w:szCs w:val="18"/>
              </w:rPr>
              <w:t>GB 11614-2009</w:t>
            </w:r>
          </w:p>
        </w:tc>
        <w:tc>
          <w:tcPr>
            <w:tcW w:w="2050" w:type="dxa"/>
            <w:vAlign w:val="center"/>
          </w:tcPr>
          <w:p w:rsidR="00900862" w:rsidRDefault="0011126E">
            <w:pPr>
              <w:snapToGrid w:val="0"/>
              <w:jc w:val="center"/>
              <w:rPr>
                <w:rFonts w:eastAsia="黑体"/>
                <w:bCs/>
                <w:sz w:val="18"/>
                <w:szCs w:val="18"/>
              </w:rPr>
            </w:pPr>
            <w:r>
              <w:rPr>
                <w:rFonts w:eastAsia="黑体"/>
                <w:sz w:val="18"/>
                <w:szCs w:val="18"/>
              </w:rPr>
              <w:t>GB 11614-2009</w:t>
            </w:r>
          </w:p>
        </w:tc>
        <w:tc>
          <w:tcPr>
            <w:tcW w:w="850" w:type="dxa"/>
            <w:vAlign w:val="center"/>
          </w:tcPr>
          <w:p w:rsidR="00900862" w:rsidRDefault="0011126E">
            <w:pPr>
              <w:snapToGrid w:val="0"/>
              <w:jc w:val="center"/>
              <w:rPr>
                <w:rFonts w:eastAsia="黑体"/>
                <w:sz w:val="18"/>
                <w:szCs w:val="18"/>
              </w:rPr>
            </w:pPr>
            <w:r>
              <w:rPr>
                <w:rFonts w:eastAsia="黑体" w:hint="eastAsia"/>
                <w:sz w:val="18"/>
                <w:szCs w:val="18"/>
              </w:rPr>
              <w:t>●</w:t>
            </w:r>
          </w:p>
        </w:tc>
        <w:tc>
          <w:tcPr>
            <w:tcW w:w="851" w:type="dxa"/>
            <w:vAlign w:val="center"/>
          </w:tcPr>
          <w:p w:rsidR="00900862" w:rsidRDefault="00900862">
            <w:pPr>
              <w:snapToGrid w:val="0"/>
              <w:jc w:val="center"/>
              <w:rPr>
                <w:rFonts w:eastAsia="黑体"/>
                <w:sz w:val="18"/>
                <w:szCs w:val="18"/>
              </w:rPr>
            </w:pPr>
          </w:p>
        </w:tc>
      </w:tr>
      <w:tr w:rsidR="00900862">
        <w:trPr>
          <w:trHeight w:val="420"/>
          <w:jc w:val="center"/>
        </w:trPr>
        <w:tc>
          <w:tcPr>
            <w:tcW w:w="709" w:type="dxa"/>
            <w:vAlign w:val="center"/>
          </w:tcPr>
          <w:p w:rsidR="00900862" w:rsidRDefault="0011126E">
            <w:pPr>
              <w:snapToGrid w:val="0"/>
              <w:jc w:val="center"/>
              <w:rPr>
                <w:rFonts w:eastAsia="黑体"/>
                <w:bCs/>
                <w:color w:val="000000"/>
                <w:sz w:val="18"/>
                <w:szCs w:val="18"/>
              </w:rPr>
            </w:pPr>
            <w:r>
              <w:rPr>
                <w:rFonts w:eastAsia="黑体"/>
                <w:bCs/>
                <w:color w:val="000000"/>
                <w:sz w:val="18"/>
                <w:szCs w:val="18"/>
              </w:rPr>
              <w:t>2</w:t>
            </w:r>
          </w:p>
        </w:tc>
        <w:tc>
          <w:tcPr>
            <w:tcW w:w="3100" w:type="dxa"/>
            <w:vAlign w:val="center"/>
          </w:tcPr>
          <w:p w:rsidR="00900862" w:rsidRDefault="0011126E">
            <w:pPr>
              <w:widowControl/>
              <w:ind w:right="198"/>
              <w:jc w:val="center"/>
              <w:rPr>
                <w:rFonts w:eastAsia="黑体"/>
                <w:sz w:val="18"/>
                <w:szCs w:val="18"/>
              </w:rPr>
            </w:pPr>
            <w:r>
              <w:rPr>
                <w:rFonts w:eastAsia="黑体"/>
                <w:sz w:val="18"/>
                <w:szCs w:val="18"/>
              </w:rPr>
              <w:t>厚薄差</w:t>
            </w:r>
          </w:p>
        </w:tc>
        <w:tc>
          <w:tcPr>
            <w:tcW w:w="1643" w:type="dxa"/>
            <w:vMerge/>
            <w:vAlign w:val="center"/>
          </w:tcPr>
          <w:p w:rsidR="00900862" w:rsidRDefault="00900862">
            <w:pPr>
              <w:snapToGrid w:val="0"/>
              <w:jc w:val="center"/>
              <w:rPr>
                <w:rFonts w:eastAsia="黑体"/>
                <w:bCs/>
                <w:color w:val="000000"/>
                <w:sz w:val="18"/>
                <w:szCs w:val="18"/>
              </w:rPr>
            </w:pPr>
          </w:p>
        </w:tc>
        <w:tc>
          <w:tcPr>
            <w:tcW w:w="2050" w:type="dxa"/>
            <w:vAlign w:val="center"/>
          </w:tcPr>
          <w:p w:rsidR="00900862" w:rsidRDefault="0011126E">
            <w:pPr>
              <w:snapToGrid w:val="0"/>
              <w:jc w:val="center"/>
              <w:rPr>
                <w:rFonts w:eastAsia="黑体"/>
                <w:bCs/>
                <w:color w:val="000000"/>
                <w:sz w:val="18"/>
                <w:szCs w:val="18"/>
              </w:rPr>
            </w:pPr>
            <w:r>
              <w:rPr>
                <w:rFonts w:eastAsia="黑体"/>
                <w:sz w:val="18"/>
                <w:szCs w:val="18"/>
              </w:rPr>
              <w:t>GB 11614-2009</w:t>
            </w:r>
          </w:p>
        </w:tc>
        <w:tc>
          <w:tcPr>
            <w:tcW w:w="850" w:type="dxa"/>
            <w:vAlign w:val="center"/>
          </w:tcPr>
          <w:p w:rsidR="00900862" w:rsidRDefault="0011126E">
            <w:pPr>
              <w:snapToGrid w:val="0"/>
              <w:jc w:val="center"/>
              <w:rPr>
                <w:rFonts w:eastAsia="黑体"/>
                <w:sz w:val="18"/>
                <w:szCs w:val="18"/>
              </w:rPr>
            </w:pPr>
            <w:r>
              <w:rPr>
                <w:rFonts w:eastAsia="黑体" w:hint="eastAsia"/>
                <w:sz w:val="18"/>
                <w:szCs w:val="18"/>
              </w:rPr>
              <w:t>●</w:t>
            </w:r>
          </w:p>
        </w:tc>
        <w:tc>
          <w:tcPr>
            <w:tcW w:w="851" w:type="dxa"/>
            <w:vAlign w:val="center"/>
          </w:tcPr>
          <w:p w:rsidR="00900862" w:rsidRDefault="00900862">
            <w:pPr>
              <w:snapToGrid w:val="0"/>
              <w:jc w:val="center"/>
              <w:rPr>
                <w:rFonts w:eastAsia="黑体"/>
                <w:sz w:val="18"/>
                <w:szCs w:val="18"/>
              </w:rPr>
            </w:pPr>
          </w:p>
        </w:tc>
      </w:tr>
      <w:tr w:rsidR="00900862">
        <w:trPr>
          <w:trHeight w:val="420"/>
          <w:jc w:val="center"/>
        </w:trPr>
        <w:tc>
          <w:tcPr>
            <w:tcW w:w="709" w:type="dxa"/>
            <w:vAlign w:val="center"/>
          </w:tcPr>
          <w:p w:rsidR="00900862" w:rsidRDefault="0011126E">
            <w:pPr>
              <w:snapToGrid w:val="0"/>
              <w:jc w:val="center"/>
              <w:rPr>
                <w:rFonts w:eastAsia="黑体"/>
                <w:bCs/>
                <w:color w:val="000000"/>
                <w:sz w:val="18"/>
                <w:szCs w:val="18"/>
              </w:rPr>
            </w:pPr>
            <w:r>
              <w:rPr>
                <w:rFonts w:eastAsia="黑体"/>
                <w:bCs/>
                <w:color w:val="000000"/>
                <w:sz w:val="18"/>
                <w:szCs w:val="18"/>
              </w:rPr>
              <w:t>3</w:t>
            </w:r>
          </w:p>
        </w:tc>
        <w:tc>
          <w:tcPr>
            <w:tcW w:w="3100" w:type="dxa"/>
            <w:vAlign w:val="center"/>
          </w:tcPr>
          <w:p w:rsidR="00900862" w:rsidRDefault="0011126E">
            <w:pPr>
              <w:ind w:right="198"/>
              <w:jc w:val="center"/>
              <w:rPr>
                <w:rFonts w:eastAsia="黑体"/>
                <w:sz w:val="18"/>
                <w:szCs w:val="18"/>
              </w:rPr>
            </w:pPr>
            <w:r>
              <w:rPr>
                <w:rFonts w:eastAsia="黑体"/>
                <w:sz w:val="18"/>
                <w:szCs w:val="18"/>
              </w:rPr>
              <w:t>点状缺陷</w:t>
            </w:r>
          </w:p>
        </w:tc>
        <w:tc>
          <w:tcPr>
            <w:tcW w:w="1643" w:type="dxa"/>
            <w:vMerge/>
            <w:vAlign w:val="center"/>
          </w:tcPr>
          <w:p w:rsidR="00900862" w:rsidRDefault="00900862">
            <w:pPr>
              <w:snapToGrid w:val="0"/>
              <w:jc w:val="center"/>
              <w:rPr>
                <w:rFonts w:eastAsia="黑体"/>
                <w:bCs/>
                <w:color w:val="000000"/>
                <w:sz w:val="18"/>
                <w:szCs w:val="18"/>
              </w:rPr>
            </w:pPr>
          </w:p>
        </w:tc>
        <w:tc>
          <w:tcPr>
            <w:tcW w:w="2050" w:type="dxa"/>
            <w:vAlign w:val="center"/>
          </w:tcPr>
          <w:p w:rsidR="00900862" w:rsidRDefault="0011126E">
            <w:pPr>
              <w:snapToGrid w:val="0"/>
              <w:jc w:val="center"/>
              <w:rPr>
                <w:rFonts w:eastAsia="黑体"/>
                <w:bCs/>
                <w:color w:val="000000"/>
                <w:sz w:val="18"/>
                <w:szCs w:val="18"/>
              </w:rPr>
            </w:pPr>
            <w:r>
              <w:rPr>
                <w:rFonts w:eastAsia="黑体"/>
                <w:sz w:val="18"/>
                <w:szCs w:val="18"/>
              </w:rPr>
              <w:t>GB 11614-2009</w:t>
            </w:r>
          </w:p>
        </w:tc>
        <w:tc>
          <w:tcPr>
            <w:tcW w:w="850" w:type="dxa"/>
            <w:vAlign w:val="center"/>
          </w:tcPr>
          <w:p w:rsidR="00900862" w:rsidRDefault="0011126E">
            <w:pPr>
              <w:snapToGrid w:val="0"/>
              <w:jc w:val="center"/>
              <w:rPr>
                <w:rFonts w:eastAsia="黑体"/>
                <w:sz w:val="18"/>
                <w:szCs w:val="18"/>
              </w:rPr>
            </w:pPr>
            <w:r>
              <w:rPr>
                <w:rFonts w:eastAsia="黑体" w:hint="eastAsia"/>
                <w:sz w:val="18"/>
                <w:szCs w:val="18"/>
              </w:rPr>
              <w:t>●</w:t>
            </w:r>
          </w:p>
        </w:tc>
        <w:tc>
          <w:tcPr>
            <w:tcW w:w="851" w:type="dxa"/>
            <w:vAlign w:val="center"/>
          </w:tcPr>
          <w:p w:rsidR="00900862" w:rsidRDefault="00900862">
            <w:pPr>
              <w:snapToGrid w:val="0"/>
              <w:jc w:val="center"/>
              <w:rPr>
                <w:rFonts w:eastAsia="黑体"/>
                <w:sz w:val="18"/>
                <w:szCs w:val="18"/>
              </w:rPr>
            </w:pPr>
          </w:p>
        </w:tc>
      </w:tr>
      <w:tr w:rsidR="00900862">
        <w:trPr>
          <w:trHeight w:val="420"/>
          <w:jc w:val="center"/>
        </w:trPr>
        <w:tc>
          <w:tcPr>
            <w:tcW w:w="709" w:type="dxa"/>
            <w:vAlign w:val="center"/>
          </w:tcPr>
          <w:p w:rsidR="00900862" w:rsidRDefault="0011126E">
            <w:pPr>
              <w:snapToGrid w:val="0"/>
              <w:jc w:val="center"/>
              <w:rPr>
                <w:rFonts w:eastAsia="黑体"/>
                <w:bCs/>
                <w:color w:val="000000"/>
                <w:sz w:val="18"/>
                <w:szCs w:val="18"/>
              </w:rPr>
            </w:pPr>
            <w:r>
              <w:rPr>
                <w:rFonts w:eastAsia="黑体"/>
                <w:bCs/>
                <w:color w:val="000000"/>
                <w:sz w:val="18"/>
                <w:szCs w:val="18"/>
              </w:rPr>
              <w:t>4</w:t>
            </w:r>
          </w:p>
        </w:tc>
        <w:tc>
          <w:tcPr>
            <w:tcW w:w="3100" w:type="dxa"/>
            <w:vAlign w:val="center"/>
          </w:tcPr>
          <w:p w:rsidR="00900862" w:rsidRDefault="0011126E">
            <w:pPr>
              <w:widowControl/>
              <w:ind w:right="198"/>
              <w:jc w:val="center"/>
              <w:rPr>
                <w:rFonts w:eastAsia="黑体"/>
                <w:sz w:val="18"/>
                <w:szCs w:val="18"/>
              </w:rPr>
            </w:pPr>
            <w:r>
              <w:rPr>
                <w:rFonts w:eastAsia="黑体"/>
                <w:sz w:val="18"/>
                <w:szCs w:val="18"/>
              </w:rPr>
              <w:t>点状缺陷密集度</w:t>
            </w:r>
          </w:p>
        </w:tc>
        <w:tc>
          <w:tcPr>
            <w:tcW w:w="1643" w:type="dxa"/>
            <w:vMerge/>
            <w:vAlign w:val="center"/>
          </w:tcPr>
          <w:p w:rsidR="00900862" w:rsidRDefault="00900862">
            <w:pPr>
              <w:snapToGrid w:val="0"/>
              <w:jc w:val="center"/>
              <w:rPr>
                <w:rFonts w:eastAsia="黑体"/>
                <w:bCs/>
                <w:color w:val="000000"/>
                <w:sz w:val="18"/>
                <w:szCs w:val="18"/>
              </w:rPr>
            </w:pPr>
          </w:p>
        </w:tc>
        <w:tc>
          <w:tcPr>
            <w:tcW w:w="2050" w:type="dxa"/>
            <w:vAlign w:val="center"/>
          </w:tcPr>
          <w:p w:rsidR="00900862" w:rsidRDefault="0011126E">
            <w:pPr>
              <w:snapToGrid w:val="0"/>
              <w:jc w:val="center"/>
              <w:rPr>
                <w:rFonts w:eastAsia="黑体"/>
                <w:bCs/>
                <w:color w:val="000000"/>
                <w:sz w:val="18"/>
                <w:szCs w:val="18"/>
              </w:rPr>
            </w:pPr>
            <w:r>
              <w:rPr>
                <w:rFonts w:eastAsia="黑体"/>
                <w:sz w:val="18"/>
                <w:szCs w:val="18"/>
              </w:rPr>
              <w:t>GB 11614-2009</w:t>
            </w:r>
          </w:p>
        </w:tc>
        <w:tc>
          <w:tcPr>
            <w:tcW w:w="850" w:type="dxa"/>
            <w:vAlign w:val="center"/>
          </w:tcPr>
          <w:p w:rsidR="00900862" w:rsidRDefault="0011126E">
            <w:pPr>
              <w:snapToGrid w:val="0"/>
              <w:jc w:val="center"/>
              <w:rPr>
                <w:rFonts w:eastAsia="黑体"/>
                <w:sz w:val="18"/>
                <w:szCs w:val="18"/>
              </w:rPr>
            </w:pPr>
            <w:r>
              <w:rPr>
                <w:rFonts w:eastAsia="黑体" w:hint="eastAsia"/>
                <w:sz w:val="18"/>
                <w:szCs w:val="18"/>
              </w:rPr>
              <w:t>●</w:t>
            </w:r>
          </w:p>
        </w:tc>
        <w:tc>
          <w:tcPr>
            <w:tcW w:w="851" w:type="dxa"/>
            <w:vAlign w:val="center"/>
          </w:tcPr>
          <w:p w:rsidR="00900862" w:rsidRDefault="00900862">
            <w:pPr>
              <w:snapToGrid w:val="0"/>
              <w:jc w:val="center"/>
              <w:rPr>
                <w:rFonts w:eastAsia="黑体"/>
                <w:sz w:val="18"/>
                <w:szCs w:val="18"/>
              </w:rPr>
            </w:pPr>
          </w:p>
        </w:tc>
      </w:tr>
      <w:tr w:rsidR="00900862">
        <w:trPr>
          <w:trHeight w:val="420"/>
          <w:jc w:val="center"/>
        </w:trPr>
        <w:tc>
          <w:tcPr>
            <w:tcW w:w="709" w:type="dxa"/>
            <w:vAlign w:val="center"/>
          </w:tcPr>
          <w:p w:rsidR="00900862" w:rsidRDefault="0011126E">
            <w:pPr>
              <w:snapToGrid w:val="0"/>
              <w:jc w:val="center"/>
              <w:rPr>
                <w:rFonts w:eastAsia="黑体"/>
                <w:bCs/>
                <w:color w:val="000000"/>
                <w:sz w:val="18"/>
                <w:szCs w:val="18"/>
              </w:rPr>
            </w:pPr>
            <w:r>
              <w:rPr>
                <w:rFonts w:eastAsia="黑体"/>
                <w:bCs/>
                <w:color w:val="000000"/>
                <w:sz w:val="18"/>
                <w:szCs w:val="18"/>
              </w:rPr>
              <w:t>5</w:t>
            </w:r>
          </w:p>
        </w:tc>
        <w:tc>
          <w:tcPr>
            <w:tcW w:w="3100" w:type="dxa"/>
            <w:vAlign w:val="center"/>
          </w:tcPr>
          <w:p w:rsidR="00900862" w:rsidRDefault="0011126E">
            <w:pPr>
              <w:widowControl/>
              <w:ind w:right="198"/>
              <w:jc w:val="center"/>
              <w:rPr>
                <w:rFonts w:eastAsia="黑体"/>
                <w:sz w:val="18"/>
                <w:szCs w:val="18"/>
              </w:rPr>
            </w:pPr>
            <w:r>
              <w:rPr>
                <w:rFonts w:eastAsia="黑体"/>
                <w:sz w:val="18"/>
                <w:szCs w:val="18"/>
              </w:rPr>
              <w:t>线道</w:t>
            </w:r>
          </w:p>
        </w:tc>
        <w:tc>
          <w:tcPr>
            <w:tcW w:w="1643" w:type="dxa"/>
            <w:vMerge/>
            <w:vAlign w:val="center"/>
          </w:tcPr>
          <w:p w:rsidR="00900862" w:rsidRDefault="00900862">
            <w:pPr>
              <w:snapToGrid w:val="0"/>
              <w:jc w:val="center"/>
              <w:rPr>
                <w:rFonts w:eastAsia="黑体"/>
                <w:bCs/>
                <w:color w:val="000000"/>
                <w:sz w:val="18"/>
                <w:szCs w:val="18"/>
              </w:rPr>
            </w:pPr>
          </w:p>
        </w:tc>
        <w:tc>
          <w:tcPr>
            <w:tcW w:w="2050" w:type="dxa"/>
            <w:vAlign w:val="center"/>
          </w:tcPr>
          <w:p w:rsidR="00900862" w:rsidRDefault="0011126E">
            <w:pPr>
              <w:snapToGrid w:val="0"/>
              <w:jc w:val="center"/>
              <w:rPr>
                <w:rFonts w:eastAsia="黑体"/>
                <w:bCs/>
                <w:color w:val="000000"/>
                <w:sz w:val="18"/>
                <w:szCs w:val="18"/>
              </w:rPr>
            </w:pPr>
            <w:r>
              <w:rPr>
                <w:rFonts w:eastAsia="黑体"/>
                <w:sz w:val="18"/>
                <w:szCs w:val="18"/>
              </w:rPr>
              <w:t>GB 11614-2009</w:t>
            </w:r>
          </w:p>
        </w:tc>
        <w:tc>
          <w:tcPr>
            <w:tcW w:w="850" w:type="dxa"/>
            <w:vAlign w:val="center"/>
          </w:tcPr>
          <w:p w:rsidR="00900862" w:rsidRDefault="0011126E">
            <w:pPr>
              <w:snapToGrid w:val="0"/>
              <w:jc w:val="center"/>
              <w:rPr>
                <w:rFonts w:eastAsia="黑体"/>
                <w:sz w:val="18"/>
                <w:szCs w:val="18"/>
              </w:rPr>
            </w:pPr>
            <w:r>
              <w:rPr>
                <w:rFonts w:eastAsia="黑体" w:hint="eastAsia"/>
                <w:sz w:val="18"/>
                <w:szCs w:val="18"/>
              </w:rPr>
              <w:t>●</w:t>
            </w:r>
          </w:p>
        </w:tc>
        <w:tc>
          <w:tcPr>
            <w:tcW w:w="851" w:type="dxa"/>
            <w:vAlign w:val="center"/>
          </w:tcPr>
          <w:p w:rsidR="00900862" w:rsidRDefault="00900862">
            <w:pPr>
              <w:snapToGrid w:val="0"/>
              <w:jc w:val="center"/>
              <w:rPr>
                <w:rFonts w:eastAsia="黑体"/>
                <w:sz w:val="18"/>
                <w:szCs w:val="18"/>
              </w:rPr>
            </w:pPr>
          </w:p>
        </w:tc>
      </w:tr>
      <w:tr w:rsidR="00900862">
        <w:trPr>
          <w:trHeight w:val="420"/>
          <w:jc w:val="center"/>
        </w:trPr>
        <w:tc>
          <w:tcPr>
            <w:tcW w:w="709" w:type="dxa"/>
            <w:vAlign w:val="center"/>
          </w:tcPr>
          <w:p w:rsidR="00900862" w:rsidRDefault="0011126E">
            <w:pPr>
              <w:snapToGrid w:val="0"/>
              <w:jc w:val="center"/>
              <w:rPr>
                <w:rFonts w:eastAsia="黑体"/>
                <w:bCs/>
                <w:color w:val="000000"/>
                <w:sz w:val="18"/>
                <w:szCs w:val="18"/>
              </w:rPr>
            </w:pPr>
            <w:r>
              <w:rPr>
                <w:rFonts w:eastAsia="黑体"/>
                <w:bCs/>
                <w:color w:val="000000"/>
                <w:sz w:val="18"/>
                <w:szCs w:val="18"/>
              </w:rPr>
              <w:t>6</w:t>
            </w:r>
          </w:p>
        </w:tc>
        <w:tc>
          <w:tcPr>
            <w:tcW w:w="3100" w:type="dxa"/>
            <w:vAlign w:val="center"/>
          </w:tcPr>
          <w:p w:rsidR="00900862" w:rsidRDefault="0011126E">
            <w:pPr>
              <w:widowControl/>
              <w:ind w:right="198"/>
              <w:jc w:val="center"/>
              <w:rPr>
                <w:rFonts w:eastAsia="黑体"/>
                <w:sz w:val="18"/>
                <w:szCs w:val="18"/>
              </w:rPr>
            </w:pPr>
            <w:r>
              <w:rPr>
                <w:rFonts w:eastAsia="黑体"/>
                <w:sz w:val="18"/>
                <w:szCs w:val="18"/>
              </w:rPr>
              <w:t>裂纹</w:t>
            </w:r>
          </w:p>
        </w:tc>
        <w:tc>
          <w:tcPr>
            <w:tcW w:w="1643" w:type="dxa"/>
            <w:vMerge/>
            <w:vAlign w:val="center"/>
          </w:tcPr>
          <w:p w:rsidR="00900862" w:rsidRDefault="00900862">
            <w:pPr>
              <w:snapToGrid w:val="0"/>
              <w:jc w:val="center"/>
              <w:rPr>
                <w:rFonts w:eastAsia="黑体"/>
                <w:bCs/>
                <w:color w:val="000000"/>
                <w:sz w:val="18"/>
                <w:szCs w:val="18"/>
              </w:rPr>
            </w:pPr>
          </w:p>
        </w:tc>
        <w:tc>
          <w:tcPr>
            <w:tcW w:w="2050" w:type="dxa"/>
            <w:vAlign w:val="center"/>
          </w:tcPr>
          <w:p w:rsidR="00900862" w:rsidRDefault="0011126E">
            <w:pPr>
              <w:snapToGrid w:val="0"/>
              <w:jc w:val="center"/>
              <w:rPr>
                <w:rFonts w:eastAsia="黑体"/>
                <w:bCs/>
                <w:color w:val="000000"/>
                <w:sz w:val="18"/>
                <w:szCs w:val="18"/>
              </w:rPr>
            </w:pPr>
            <w:r>
              <w:rPr>
                <w:rFonts w:eastAsia="黑体"/>
                <w:sz w:val="18"/>
                <w:szCs w:val="18"/>
              </w:rPr>
              <w:t>GB 11614-2009</w:t>
            </w:r>
          </w:p>
        </w:tc>
        <w:tc>
          <w:tcPr>
            <w:tcW w:w="850" w:type="dxa"/>
            <w:vAlign w:val="center"/>
          </w:tcPr>
          <w:p w:rsidR="00900862" w:rsidRDefault="0011126E">
            <w:pPr>
              <w:snapToGrid w:val="0"/>
              <w:jc w:val="center"/>
              <w:rPr>
                <w:rFonts w:eastAsia="黑体"/>
                <w:sz w:val="18"/>
                <w:szCs w:val="18"/>
              </w:rPr>
            </w:pPr>
            <w:r>
              <w:rPr>
                <w:rFonts w:eastAsia="黑体" w:hint="eastAsia"/>
                <w:sz w:val="18"/>
                <w:szCs w:val="18"/>
              </w:rPr>
              <w:t>●</w:t>
            </w:r>
          </w:p>
        </w:tc>
        <w:tc>
          <w:tcPr>
            <w:tcW w:w="851" w:type="dxa"/>
            <w:vAlign w:val="center"/>
          </w:tcPr>
          <w:p w:rsidR="00900862" w:rsidRDefault="00900862">
            <w:pPr>
              <w:snapToGrid w:val="0"/>
              <w:jc w:val="center"/>
              <w:rPr>
                <w:rFonts w:eastAsia="黑体"/>
                <w:sz w:val="18"/>
                <w:szCs w:val="18"/>
              </w:rPr>
            </w:pPr>
          </w:p>
        </w:tc>
      </w:tr>
      <w:tr w:rsidR="00900862">
        <w:trPr>
          <w:trHeight w:val="420"/>
          <w:jc w:val="center"/>
        </w:trPr>
        <w:tc>
          <w:tcPr>
            <w:tcW w:w="709" w:type="dxa"/>
            <w:vAlign w:val="center"/>
          </w:tcPr>
          <w:p w:rsidR="00900862" w:rsidRDefault="0011126E">
            <w:pPr>
              <w:snapToGrid w:val="0"/>
              <w:jc w:val="center"/>
              <w:rPr>
                <w:rFonts w:eastAsia="黑体"/>
                <w:bCs/>
                <w:color w:val="000000"/>
                <w:sz w:val="18"/>
                <w:szCs w:val="18"/>
              </w:rPr>
            </w:pPr>
            <w:r>
              <w:rPr>
                <w:rFonts w:eastAsia="黑体"/>
                <w:bCs/>
                <w:color w:val="000000"/>
                <w:sz w:val="18"/>
                <w:szCs w:val="18"/>
              </w:rPr>
              <w:t>7</w:t>
            </w:r>
          </w:p>
        </w:tc>
        <w:tc>
          <w:tcPr>
            <w:tcW w:w="3100" w:type="dxa"/>
            <w:vAlign w:val="center"/>
          </w:tcPr>
          <w:p w:rsidR="00900862" w:rsidRDefault="0011126E">
            <w:pPr>
              <w:widowControl/>
              <w:ind w:right="198"/>
              <w:jc w:val="center"/>
              <w:rPr>
                <w:rFonts w:eastAsia="黑体"/>
                <w:sz w:val="18"/>
                <w:szCs w:val="18"/>
              </w:rPr>
            </w:pPr>
            <w:r>
              <w:rPr>
                <w:rFonts w:eastAsia="黑体"/>
                <w:sz w:val="18"/>
                <w:szCs w:val="18"/>
              </w:rPr>
              <w:t>光学变形</w:t>
            </w:r>
          </w:p>
        </w:tc>
        <w:tc>
          <w:tcPr>
            <w:tcW w:w="1643" w:type="dxa"/>
            <w:vMerge/>
            <w:vAlign w:val="center"/>
          </w:tcPr>
          <w:p w:rsidR="00900862" w:rsidRDefault="00900862">
            <w:pPr>
              <w:snapToGrid w:val="0"/>
              <w:jc w:val="center"/>
              <w:rPr>
                <w:rFonts w:eastAsia="黑体"/>
                <w:bCs/>
                <w:color w:val="000000"/>
                <w:sz w:val="18"/>
                <w:szCs w:val="18"/>
              </w:rPr>
            </w:pPr>
          </w:p>
        </w:tc>
        <w:tc>
          <w:tcPr>
            <w:tcW w:w="2050" w:type="dxa"/>
            <w:vAlign w:val="center"/>
          </w:tcPr>
          <w:p w:rsidR="00900862" w:rsidRDefault="0011126E">
            <w:pPr>
              <w:snapToGrid w:val="0"/>
              <w:jc w:val="center"/>
              <w:rPr>
                <w:rFonts w:eastAsia="黑体"/>
                <w:bCs/>
                <w:color w:val="000000"/>
                <w:sz w:val="18"/>
                <w:szCs w:val="18"/>
              </w:rPr>
            </w:pPr>
            <w:r>
              <w:rPr>
                <w:rFonts w:eastAsia="黑体"/>
                <w:sz w:val="18"/>
                <w:szCs w:val="18"/>
              </w:rPr>
              <w:t>GB 11614-2009</w:t>
            </w:r>
          </w:p>
        </w:tc>
        <w:tc>
          <w:tcPr>
            <w:tcW w:w="850" w:type="dxa"/>
            <w:vAlign w:val="center"/>
          </w:tcPr>
          <w:p w:rsidR="00900862" w:rsidRDefault="0011126E">
            <w:pPr>
              <w:snapToGrid w:val="0"/>
              <w:jc w:val="center"/>
              <w:rPr>
                <w:rFonts w:eastAsia="黑体"/>
                <w:sz w:val="18"/>
                <w:szCs w:val="18"/>
              </w:rPr>
            </w:pPr>
            <w:r>
              <w:rPr>
                <w:rFonts w:eastAsia="黑体" w:hint="eastAsia"/>
                <w:sz w:val="18"/>
                <w:szCs w:val="18"/>
              </w:rPr>
              <w:t>●</w:t>
            </w:r>
          </w:p>
        </w:tc>
        <w:tc>
          <w:tcPr>
            <w:tcW w:w="851" w:type="dxa"/>
            <w:vAlign w:val="center"/>
          </w:tcPr>
          <w:p w:rsidR="00900862" w:rsidRDefault="00900862">
            <w:pPr>
              <w:snapToGrid w:val="0"/>
              <w:jc w:val="center"/>
              <w:rPr>
                <w:rFonts w:eastAsia="黑体"/>
                <w:sz w:val="18"/>
                <w:szCs w:val="18"/>
              </w:rPr>
            </w:pPr>
          </w:p>
        </w:tc>
      </w:tr>
      <w:tr w:rsidR="00900862">
        <w:trPr>
          <w:trHeight w:val="420"/>
          <w:jc w:val="center"/>
        </w:trPr>
        <w:tc>
          <w:tcPr>
            <w:tcW w:w="709" w:type="dxa"/>
            <w:vAlign w:val="center"/>
          </w:tcPr>
          <w:p w:rsidR="00900862" w:rsidRDefault="0011126E">
            <w:pPr>
              <w:snapToGrid w:val="0"/>
              <w:jc w:val="center"/>
              <w:rPr>
                <w:rFonts w:eastAsia="黑体"/>
                <w:bCs/>
                <w:color w:val="000000"/>
                <w:sz w:val="18"/>
                <w:szCs w:val="18"/>
              </w:rPr>
            </w:pPr>
            <w:r>
              <w:rPr>
                <w:rFonts w:eastAsia="黑体"/>
                <w:bCs/>
                <w:color w:val="000000"/>
                <w:sz w:val="18"/>
                <w:szCs w:val="18"/>
              </w:rPr>
              <w:t>8</w:t>
            </w:r>
          </w:p>
        </w:tc>
        <w:tc>
          <w:tcPr>
            <w:tcW w:w="3100" w:type="dxa"/>
            <w:vAlign w:val="center"/>
          </w:tcPr>
          <w:p w:rsidR="00900862" w:rsidRDefault="0011126E">
            <w:pPr>
              <w:widowControl/>
              <w:ind w:right="198"/>
              <w:jc w:val="center"/>
              <w:rPr>
                <w:rFonts w:eastAsia="黑体"/>
                <w:sz w:val="18"/>
                <w:szCs w:val="18"/>
              </w:rPr>
            </w:pPr>
            <w:r>
              <w:rPr>
                <w:rFonts w:eastAsia="黑体"/>
                <w:sz w:val="18"/>
                <w:szCs w:val="18"/>
              </w:rPr>
              <w:t>弯曲度</w:t>
            </w:r>
          </w:p>
        </w:tc>
        <w:tc>
          <w:tcPr>
            <w:tcW w:w="1643" w:type="dxa"/>
            <w:vMerge/>
            <w:vAlign w:val="center"/>
          </w:tcPr>
          <w:p w:rsidR="00900862" w:rsidRDefault="00900862">
            <w:pPr>
              <w:snapToGrid w:val="0"/>
              <w:jc w:val="center"/>
              <w:rPr>
                <w:rFonts w:eastAsia="黑体"/>
                <w:bCs/>
                <w:color w:val="000000"/>
                <w:sz w:val="18"/>
                <w:szCs w:val="18"/>
              </w:rPr>
            </w:pPr>
          </w:p>
        </w:tc>
        <w:tc>
          <w:tcPr>
            <w:tcW w:w="2050" w:type="dxa"/>
            <w:vAlign w:val="center"/>
          </w:tcPr>
          <w:p w:rsidR="00900862" w:rsidRDefault="0011126E">
            <w:pPr>
              <w:snapToGrid w:val="0"/>
              <w:jc w:val="center"/>
              <w:rPr>
                <w:rFonts w:eastAsia="黑体"/>
                <w:bCs/>
                <w:color w:val="000000"/>
                <w:sz w:val="18"/>
                <w:szCs w:val="18"/>
              </w:rPr>
            </w:pPr>
            <w:r>
              <w:rPr>
                <w:rFonts w:eastAsia="黑体"/>
                <w:sz w:val="18"/>
                <w:szCs w:val="18"/>
              </w:rPr>
              <w:t xml:space="preserve">GB </w:t>
            </w:r>
            <w:r>
              <w:rPr>
                <w:rFonts w:eastAsia="黑体"/>
                <w:sz w:val="18"/>
                <w:szCs w:val="18"/>
              </w:rPr>
              <w:t>11614-2009</w:t>
            </w:r>
          </w:p>
        </w:tc>
        <w:tc>
          <w:tcPr>
            <w:tcW w:w="850" w:type="dxa"/>
            <w:vAlign w:val="center"/>
          </w:tcPr>
          <w:p w:rsidR="00900862" w:rsidRDefault="00900862">
            <w:pPr>
              <w:snapToGrid w:val="0"/>
              <w:jc w:val="center"/>
              <w:rPr>
                <w:rFonts w:eastAsia="黑体"/>
                <w:sz w:val="18"/>
                <w:szCs w:val="18"/>
              </w:rPr>
            </w:pPr>
          </w:p>
        </w:tc>
        <w:tc>
          <w:tcPr>
            <w:tcW w:w="851" w:type="dxa"/>
            <w:vAlign w:val="center"/>
          </w:tcPr>
          <w:p w:rsidR="00900862" w:rsidRDefault="0011126E">
            <w:pPr>
              <w:snapToGrid w:val="0"/>
              <w:jc w:val="center"/>
              <w:rPr>
                <w:rFonts w:eastAsia="黑体"/>
                <w:sz w:val="18"/>
                <w:szCs w:val="18"/>
              </w:rPr>
            </w:pPr>
            <w:r>
              <w:rPr>
                <w:rFonts w:eastAsia="黑体" w:hint="eastAsia"/>
                <w:sz w:val="18"/>
                <w:szCs w:val="18"/>
              </w:rPr>
              <w:t>●</w:t>
            </w:r>
          </w:p>
        </w:tc>
      </w:tr>
      <w:tr w:rsidR="00900862">
        <w:trPr>
          <w:trHeight w:val="420"/>
          <w:jc w:val="center"/>
        </w:trPr>
        <w:tc>
          <w:tcPr>
            <w:tcW w:w="709" w:type="dxa"/>
            <w:vAlign w:val="center"/>
          </w:tcPr>
          <w:p w:rsidR="00900862" w:rsidRDefault="0011126E">
            <w:pPr>
              <w:snapToGrid w:val="0"/>
              <w:jc w:val="center"/>
              <w:rPr>
                <w:rFonts w:eastAsia="黑体"/>
                <w:bCs/>
                <w:color w:val="000000"/>
                <w:sz w:val="18"/>
                <w:szCs w:val="18"/>
              </w:rPr>
            </w:pPr>
            <w:r>
              <w:rPr>
                <w:rFonts w:eastAsia="黑体"/>
                <w:bCs/>
                <w:color w:val="000000"/>
                <w:sz w:val="18"/>
                <w:szCs w:val="18"/>
              </w:rPr>
              <w:t>9</w:t>
            </w:r>
          </w:p>
        </w:tc>
        <w:tc>
          <w:tcPr>
            <w:tcW w:w="3100" w:type="dxa"/>
            <w:vAlign w:val="center"/>
          </w:tcPr>
          <w:p w:rsidR="00900862" w:rsidRDefault="0011126E">
            <w:pPr>
              <w:widowControl/>
              <w:ind w:right="198"/>
              <w:jc w:val="center"/>
              <w:rPr>
                <w:rFonts w:eastAsia="黑体"/>
                <w:sz w:val="18"/>
                <w:szCs w:val="18"/>
              </w:rPr>
            </w:pPr>
            <w:r>
              <w:rPr>
                <w:rFonts w:eastAsia="黑体"/>
                <w:sz w:val="18"/>
                <w:szCs w:val="18"/>
              </w:rPr>
              <w:t>无色透明平板玻璃可见光透射比</w:t>
            </w:r>
          </w:p>
        </w:tc>
        <w:tc>
          <w:tcPr>
            <w:tcW w:w="1643" w:type="dxa"/>
            <w:vMerge/>
            <w:vAlign w:val="center"/>
          </w:tcPr>
          <w:p w:rsidR="00900862" w:rsidRDefault="00900862">
            <w:pPr>
              <w:snapToGrid w:val="0"/>
              <w:jc w:val="center"/>
              <w:rPr>
                <w:rFonts w:eastAsia="黑体"/>
                <w:bCs/>
                <w:color w:val="000000"/>
                <w:sz w:val="18"/>
                <w:szCs w:val="18"/>
              </w:rPr>
            </w:pPr>
          </w:p>
        </w:tc>
        <w:tc>
          <w:tcPr>
            <w:tcW w:w="2050" w:type="dxa"/>
            <w:vAlign w:val="center"/>
          </w:tcPr>
          <w:p w:rsidR="00900862" w:rsidRDefault="0011126E">
            <w:pPr>
              <w:jc w:val="center"/>
              <w:rPr>
                <w:rFonts w:eastAsia="黑体"/>
                <w:sz w:val="18"/>
                <w:szCs w:val="18"/>
              </w:rPr>
            </w:pPr>
            <w:r>
              <w:rPr>
                <w:rFonts w:eastAsia="黑体"/>
                <w:sz w:val="18"/>
                <w:szCs w:val="18"/>
              </w:rPr>
              <w:t xml:space="preserve"> GB/T 2680-1994         GB 11614-2009</w:t>
            </w:r>
          </w:p>
        </w:tc>
        <w:tc>
          <w:tcPr>
            <w:tcW w:w="850" w:type="dxa"/>
            <w:vAlign w:val="center"/>
          </w:tcPr>
          <w:p w:rsidR="00900862" w:rsidRDefault="00900862">
            <w:pPr>
              <w:jc w:val="center"/>
              <w:rPr>
                <w:rFonts w:eastAsia="黑体"/>
                <w:sz w:val="18"/>
                <w:szCs w:val="18"/>
              </w:rPr>
            </w:pPr>
          </w:p>
        </w:tc>
        <w:tc>
          <w:tcPr>
            <w:tcW w:w="851" w:type="dxa"/>
            <w:vAlign w:val="center"/>
          </w:tcPr>
          <w:p w:rsidR="00900862" w:rsidRDefault="0011126E">
            <w:pPr>
              <w:jc w:val="center"/>
              <w:rPr>
                <w:rFonts w:eastAsia="黑体"/>
                <w:sz w:val="18"/>
                <w:szCs w:val="18"/>
              </w:rPr>
            </w:pPr>
            <w:r>
              <w:rPr>
                <w:rFonts w:eastAsia="黑体" w:hint="eastAsia"/>
                <w:sz w:val="18"/>
                <w:szCs w:val="18"/>
              </w:rPr>
              <w:t>●</w:t>
            </w:r>
          </w:p>
        </w:tc>
      </w:tr>
      <w:tr w:rsidR="00900862">
        <w:trPr>
          <w:trHeight w:val="420"/>
          <w:jc w:val="center"/>
        </w:trPr>
        <w:tc>
          <w:tcPr>
            <w:tcW w:w="709" w:type="dxa"/>
            <w:vAlign w:val="center"/>
          </w:tcPr>
          <w:p w:rsidR="00900862" w:rsidRDefault="0011126E">
            <w:pPr>
              <w:snapToGrid w:val="0"/>
              <w:jc w:val="center"/>
              <w:rPr>
                <w:rFonts w:eastAsia="黑体"/>
                <w:bCs/>
                <w:color w:val="000000"/>
                <w:sz w:val="18"/>
                <w:szCs w:val="18"/>
              </w:rPr>
            </w:pPr>
            <w:r>
              <w:rPr>
                <w:rFonts w:eastAsia="黑体"/>
                <w:bCs/>
                <w:color w:val="000000"/>
                <w:sz w:val="18"/>
                <w:szCs w:val="18"/>
              </w:rPr>
              <w:t>10</w:t>
            </w:r>
          </w:p>
        </w:tc>
        <w:tc>
          <w:tcPr>
            <w:tcW w:w="3100" w:type="dxa"/>
            <w:vAlign w:val="center"/>
          </w:tcPr>
          <w:p w:rsidR="00900862" w:rsidRDefault="0011126E">
            <w:pPr>
              <w:widowControl/>
              <w:ind w:right="198"/>
              <w:jc w:val="center"/>
              <w:rPr>
                <w:rFonts w:eastAsia="黑体"/>
                <w:sz w:val="18"/>
                <w:szCs w:val="18"/>
              </w:rPr>
            </w:pPr>
            <w:r>
              <w:rPr>
                <w:rFonts w:eastAsia="黑体"/>
                <w:sz w:val="18"/>
                <w:szCs w:val="18"/>
              </w:rPr>
              <w:t>本体着色平板玻璃透射比偏差</w:t>
            </w:r>
            <w:r>
              <w:rPr>
                <w:rFonts w:eastAsia="黑体" w:hint="eastAsia"/>
                <w:sz w:val="18"/>
                <w:szCs w:val="18"/>
                <w:vertAlign w:val="superscript"/>
              </w:rPr>
              <w:t>c</w:t>
            </w:r>
          </w:p>
        </w:tc>
        <w:tc>
          <w:tcPr>
            <w:tcW w:w="1643" w:type="dxa"/>
            <w:vMerge/>
            <w:vAlign w:val="center"/>
          </w:tcPr>
          <w:p w:rsidR="00900862" w:rsidRDefault="00900862">
            <w:pPr>
              <w:snapToGrid w:val="0"/>
              <w:jc w:val="center"/>
              <w:rPr>
                <w:rFonts w:eastAsia="黑体"/>
                <w:bCs/>
                <w:color w:val="000000"/>
                <w:sz w:val="18"/>
                <w:szCs w:val="18"/>
              </w:rPr>
            </w:pPr>
          </w:p>
        </w:tc>
        <w:tc>
          <w:tcPr>
            <w:tcW w:w="2050" w:type="dxa"/>
            <w:vAlign w:val="center"/>
          </w:tcPr>
          <w:p w:rsidR="00900862" w:rsidRDefault="0011126E">
            <w:pPr>
              <w:jc w:val="center"/>
              <w:rPr>
                <w:rFonts w:eastAsia="黑体"/>
                <w:sz w:val="18"/>
                <w:szCs w:val="18"/>
              </w:rPr>
            </w:pPr>
            <w:r>
              <w:rPr>
                <w:rFonts w:eastAsia="黑体"/>
                <w:sz w:val="18"/>
                <w:szCs w:val="18"/>
              </w:rPr>
              <w:t>GB 11614-2009</w:t>
            </w:r>
          </w:p>
        </w:tc>
        <w:tc>
          <w:tcPr>
            <w:tcW w:w="850" w:type="dxa"/>
            <w:vAlign w:val="center"/>
          </w:tcPr>
          <w:p w:rsidR="00900862" w:rsidRDefault="00900862">
            <w:pPr>
              <w:jc w:val="center"/>
              <w:rPr>
                <w:rFonts w:eastAsia="黑体"/>
                <w:sz w:val="18"/>
                <w:szCs w:val="18"/>
              </w:rPr>
            </w:pPr>
          </w:p>
        </w:tc>
        <w:tc>
          <w:tcPr>
            <w:tcW w:w="851" w:type="dxa"/>
            <w:vAlign w:val="center"/>
          </w:tcPr>
          <w:p w:rsidR="00900862" w:rsidRDefault="0011126E">
            <w:pPr>
              <w:jc w:val="center"/>
              <w:rPr>
                <w:rFonts w:eastAsia="黑体"/>
                <w:sz w:val="18"/>
                <w:szCs w:val="18"/>
              </w:rPr>
            </w:pPr>
            <w:r>
              <w:rPr>
                <w:rFonts w:eastAsia="黑体" w:hint="eastAsia"/>
                <w:sz w:val="18"/>
                <w:szCs w:val="18"/>
              </w:rPr>
              <w:t>●</w:t>
            </w:r>
          </w:p>
        </w:tc>
      </w:tr>
      <w:tr w:rsidR="00900862">
        <w:trPr>
          <w:trHeight w:val="420"/>
          <w:jc w:val="center"/>
        </w:trPr>
        <w:tc>
          <w:tcPr>
            <w:tcW w:w="709" w:type="dxa"/>
            <w:vAlign w:val="center"/>
          </w:tcPr>
          <w:p w:rsidR="00900862" w:rsidRDefault="0011126E">
            <w:pPr>
              <w:snapToGrid w:val="0"/>
              <w:jc w:val="center"/>
              <w:rPr>
                <w:rFonts w:eastAsia="黑体"/>
                <w:bCs/>
                <w:color w:val="000000"/>
                <w:sz w:val="18"/>
                <w:szCs w:val="18"/>
              </w:rPr>
            </w:pPr>
            <w:r>
              <w:rPr>
                <w:rFonts w:eastAsia="黑体"/>
                <w:bCs/>
                <w:color w:val="000000"/>
                <w:sz w:val="18"/>
                <w:szCs w:val="18"/>
              </w:rPr>
              <w:t>11</w:t>
            </w:r>
          </w:p>
        </w:tc>
        <w:tc>
          <w:tcPr>
            <w:tcW w:w="3100" w:type="dxa"/>
            <w:vAlign w:val="center"/>
          </w:tcPr>
          <w:p w:rsidR="00900862" w:rsidRDefault="0011126E">
            <w:pPr>
              <w:widowControl/>
              <w:ind w:right="198"/>
              <w:jc w:val="center"/>
              <w:rPr>
                <w:rFonts w:eastAsia="黑体"/>
                <w:sz w:val="18"/>
                <w:szCs w:val="18"/>
              </w:rPr>
            </w:pPr>
            <w:r>
              <w:rPr>
                <w:rFonts w:eastAsia="黑体"/>
                <w:sz w:val="18"/>
                <w:szCs w:val="18"/>
              </w:rPr>
              <w:t>本体着色平板玻璃颜色均匀性</w:t>
            </w:r>
            <w:r>
              <w:rPr>
                <w:rFonts w:eastAsia="黑体" w:hint="eastAsia"/>
                <w:sz w:val="18"/>
                <w:szCs w:val="18"/>
                <w:vertAlign w:val="superscript"/>
              </w:rPr>
              <w:t>d</w:t>
            </w:r>
          </w:p>
        </w:tc>
        <w:tc>
          <w:tcPr>
            <w:tcW w:w="1643" w:type="dxa"/>
            <w:vMerge/>
            <w:vAlign w:val="center"/>
          </w:tcPr>
          <w:p w:rsidR="00900862" w:rsidRDefault="00900862">
            <w:pPr>
              <w:snapToGrid w:val="0"/>
              <w:jc w:val="center"/>
              <w:rPr>
                <w:rFonts w:eastAsia="黑体"/>
                <w:bCs/>
                <w:color w:val="000000"/>
                <w:sz w:val="18"/>
                <w:szCs w:val="18"/>
              </w:rPr>
            </w:pPr>
          </w:p>
        </w:tc>
        <w:tc>
          <w:tcPr>
            <w:tcW w:w="2050" w:type="dxa"/>
            <w:vAlign w:val="center"/>
          </w:tcPr>
          <w:p w:rsidR="00900862" w:rsidRDefault="0011126E">
            <w:pPr>
              <w:jc w:val="center"/>
              <w:rPr>
                <w:rFonts w:eastAsia="黑体"/>
                <w:sz w:val="18"/>
                <w:szCs w:val="18"/>
              </w:rPr>
            </w:pPr>
            <w:r>
              <w:rPr>
                <w:rFonts w:eastAsia="黑体"/>
                <w:sz w:val="18"/>
                <w:szCs w:val="18"/>
              </w:rPr>
              <w:t>GB 11614-2009</w:t>
            </w:r>
          </w:p>
        </w:tc>
        <w:tc>
          <w:tcPr>
            <w:tcW w:w="850" w:type="dxa"/>
            <w:vAlign w:val="center"/>
          </w:tcPr>
          <w:p w:rsidR="00900862" w:rsidRDefault="00900862">
            <w:pPr>
              <w:jc w:val="center"/>
              <w:rPr>
                <w:rFonts w:eastAsia="黑体"/>
                <w:sz w:val="18"/>
                <w:szCs w:val="18"/>
              </w:rPr>
            </w:pPr>
          </w:p>
        </w:tc>
        <w:tc>
          <w:tcPr>
            <w:tcW w:w="851" w:type="dxa"/>
            <w:vAlign w:val="center"/>
          </w:tcPr>
          <w:p w:rsidR="00900862" w:rsidRDefault="0011126E">
            <w:pPr>
              <w:jc w:val="center"/>
              <w:rPr>
                <w:rFonts w:eastAsia="黑体"/>
                <w:sz w:val="18"/>
                <w:szCs w:val="18"/>
              </w:rPr>
            </w:pPr>
            <w:r>
              <w:rPr>
                <w:rFonts w:eastAsia="黑体" w:hint="eastAsia"/>
                <w:sz w:val="18"/>
                <w:szCs w:val="18"/>
              </w:rPr>
              <w:t>●</w:t>
            </w:r>
          </w:p>
        </w:tc>
      </w:tr>
      <w:tr w:rsidR="00900862">
        <w:trPr>
          <w:trHeight w:val="420"/>
          <w:jc w:val="center"/>
        </w:trPr>
        <w:tc>
          <w:tcPr>
            <w:tcW w:w="9203" w:type="dxa"/>
            <w:gridSpan w:val="6"/>
            <w:vAlign w:val="center"/>
          </w:tcPr>
          <w:p w:rsidR="00900862" w:rsidRDefault="0011126E">
            <w:pPr>
              <w:snapToGrid w:val="0"/>
              <w:jc w:val="left"/>
              <w:rPr>
                <w:rFonts w:ascii="黑体" w:eastAsia="黑体" w:hAnsi="黑体"/>
                <w:sz w:val="18"/>
                <w:szCs w:val="18"/>
              </w:rPr>
            </w:pPr>
            <w:r>
              <w:rPr>
                <w:rFonts w:ascii="黑体" w:eastAsia="黑体" w:hAnsi="黑体"/>
                <w:sz w:val="18"/>
                <w:szCs w:val="18"/>
              </w:rPr>
              <w:t>a</w:t>
            </w:r>
            <w:r>
              <w:rPr>
                <w:rFonts w:ascii="黑体" w:eastAsia="黑体" w:hAnsi="黑体" w:hint="eastAsia"/>
                <w:sz w:val="18"/>
                <w:szCs w:val="18"/>
              </w:rPr>
              <w:t>极重要质量项目</w:t>
            </w:r>
          </w:p>
          <w:p w:rsidR="00900862" w:rsidRDefault="0011126E">
            <w:pPr>
              <w:snapToGrid w:val="0"/>
              <w:rPr>
                <w:rFonts w:ascii="黑体" w:eastAsia="黑体" w:hAnsi="黑体"/>
                <w:bCs/>
                <w:color w:val="000000"/>
                <w:sz w:val="18"/>
                <w:szCs w:val="18"/>
              </w:rPr>
            </w:pPr>
            <w:r>
              <w:rPr>
                <w:rFonts w:ascii="黑体" w:eastAsia="黑体" w:hAnsi="黑体"/>
                <w:sz w:val="18"/>
                <w:szCs w:val="18"/>
              </w:rPr>
              <w:t>b</w:t>
            </w:r>
            <w:r>
              <w:rPr>
                <w:rFonts w:ascii="黑体" w:eastAsia="黑体" w:hAnsi="黑体" w:hint="eastAsia"/>
                <w:sz w:val="18"/>
                <w:szCs w:val="18"/>
              </w:rPr>
              <w:t>重要质量项目</w:t>
            </w:r>
          </w:p>
          <w:p w:rsidR="00900862" w:rsidRDefault="0011126E">
            <w:pPr>
              <w:snapToGrid w:val="0"/>
              <w:rPr>
                <w:rFonts w:eastAsia="黑体"/>
                <w:sz w:val="18"/>
                <w:szCs w:val="18"/>
              </w:rPr>
            </w:pPr>
            <w:r>
              <w:rPr>
                <w:rFonts w:ascii="黑体" w:eastAsia="黑体" w:hAnsi="黑体" w:hint="eastAsia"/>
                <w:bCs/>
                <w:color w:val="000000"/>
                <w:sz w:val="18"/>
                <w:szCs w:val="18"/>
              </w:rPr>
              <w:t>c</w:t>
            </w:r>
            <w:r>
              <w:rPr>
                <w:rFonts w:ascii="黑体" w:eastAsia="黑体" w:hAnsi="黑体"/>
                <w:bCs/>
                <w:color w:val="000000"/>
                <w:sz w:val="18"/>
                <w:szCs w:val="18"/>
              </w:rPr>
              <w:t>、</w:t>
            </w:r>
            <w:r>
              <w:rPr>
                <w:rFonts w:ascii="黑体" w:eastAsia="黑体" w:hAnsi="黑体" w:hint="eastAsia"/>
                <w:bCs/>
                <w:color w:val="000000"/>
                <w:sz w:val="18"/>
                <w:szCs w:val="18"/>
              </w:rPr>
              <w:t>d</w:t>
            </w:r>
            <w:r>
              <w:rPr>
                <w:rFonts w:ascii="黑体" w:eastAsia="黑体" w:hAnsi="黑体"/>
                <w:bCs/>
                <w:color w:val="000000"/>
                <w:sz w:val="18"/>
                <w:szCs w:val="18"/>
              </w:rPr>
              <w:t>项目仅限本体着色平板玻璃。</w:t>
            </w:r>
          </w:p>
        </w:tc>
      </w:tr>
    </w:tbl>
    <w:p w:rsidR="00900862" w:rsidRDefault="0011126E">
      <w:pPr>
        <w:snapToGrid w:val="0"/>
        <w:spacing w:line="360" w:lineRule="auto"/>
        <w:ind w:firstLineChars="200" w:firstLine="420"/>
        <w:rPr>
          <w:bCs/>
          <w:color w:val="000000"/>
          <w:szCs w:val="21"/>
        </w:rPr>
      </w:pPr>
      <w:r>
        <w:rPr>
          <w:bCs/>
          <w:color w:val="000000"/>
          <w:szCs w:val="21"/>
        </w:rPr>
        <w:t>上表所列检验项目是有关法律法规、标准等规定的，重点涉及健康、安全、节能、环保以及消费者、有关组织反映有质量问题的重要项目。</w:t>
      </w:r>
    </w:p>
    <w:p w:rsidR="00900862" w:rsidRDefault="0011126E">
      <w:pPr>
        <w:snapToGrid w:val="0"/>
        <w:spacing w:line="360" w:lineRule="auto"/>
        <w:ind w:firstLineChars="200" w:firstLine="420"/>
        <w:rPr>
          <w:color w:val="000000"/>
          <w:szCs w:val="21"/>
        </w:rPr>
      </w:pPr>
      <w:r>
        <w:rPr>
          <w:color w:val="000000"/>
          <w:szCs w:val="21"/>
        </w:rPr>
        <w:t>检验方法包括相关产品标准及试验方法标准。</w:t>
      </w:r>
    </w:p>
    <w:p w:rsidR="00900862" w:rsidRDefault="0011126E">
      <w:pPr>
        <w:snapToGrid w:val="0"/>
        <w:spacing w:line="360" w:lineRule="auto"/>
        <w:ind w:firstLineChars="200" w:firstLine="420"/>
        <w:rPr>
          <w:color w:val="000000"/>
          <w:szCs w:val="21"/>
        </w:rPr>
      </w:pPr>
      <w:r>
        <w:rPr>
          <w:color w:val="000000"/>
          <w:szCs w:val="21"/>
        </w:rPr>
        <w:t>凡是注日期的文件，其随后所有的修改单（不包括勘误的内容）或修订版不适用于本细则。凡是不注日期的文件，其最新版本适用于本细则。</w:t>
      </w:r>
    </w:p>
    <w:p w:rsidR="00900862" w:rsidRDefault="00900862">
      <w:pPr>
        <w:adjustRightInd w:val="0"/>
        <w:snapToGrid w:val="0"/>
        <w:spacing w:line="360" w:lineRule="auto"/>
        <w:rPr>
          <w:rFonts w:eastAsia="黑体"/>
          <w:b/>
          <w:szCs w:val="21"/>
        </w:rPr>
      </w:pPr>
    </w:p>
    <w:p w:rsidR="00900862" w:rsidRDefault="0011126E">
      <w:pPr>
        <w:adjustRightInd w:val="0"/>
        <w:snapToGrid w:val="0"/>
        <w:spacing w:line="360" w:lineRule="auto"/>
        <w:rPr>
          <w:rFonts w:eastAsia="黑体"/>
          <w:b/>
          <w:szCs w:val="21"/>
        </w:rPr>
      </w:pPr>
      <w:r>
        <w:rPr>
          <w:rFonts w:eastAsia="黑体"/>
          <w:b/>
          <w:szCs w:val="21"/>
        </w:rPr>
        <w:t xml:space="preserve">3 </w:t>
      </w:r>
      <w:r>
        <w:rPr>
          <w:rFonts w:eastAsia="黑体"/>
          <w:b/>
          <w:szCs w:val="21"/>
        </w:rPr>
        <w:t>判定规则</w:t>
      </w:r>
    </w:p>
    <w:p w:rsidR="00900862" w:rsidRDefault="0011126E">
      <w:pPr>
        <w:snapToGrid w:val="0"/>
        <w:spacing w:line="360" w:lineRule="auto"/>
        <w:rPr>
          <w:b/>
          <w:bCs/>
          <w:color w:val="000000"/>
          <w:szCs w:val="21"/>
        </w:rPr>
      </w:pPr>
      <w:r>
        <w:rPr>
          <w:b/>
          <w:bCs/>
          <w:color w:val="000000"/>
          <w:szCs w:val="21"/>
        </w:rPr>
        <w:t>3.1</w:t>
      </w:r>
      <w:r>
        <w:rPr>
          <w:b/>
          <w:bCs/>
          <w:color w:val="000000"/>
          <w:szCs w:val="21"/>
        </w:rPr>
        <w:t>依据标准</w:t>
      </w:r>
    </w:p>
    <w:p w:rsidR="00900862" w:rsidRDefault="0011126E">
      <w:pPr>
        <w:snapToGrid w:val="0"/>
        <w:spacing w:line="360" w:lineRule="auto"/>
        <w:ind w:firstLineChars="200" w:firstLine="420"/>
        <w:rPr>
          <w:bCs/>
          <w:color w:val="000000"/>
          <w:szCs w:val="21"/>
        </w:rPr>
      </w:pPr>
      <w:r>
        <w:rPr>
          <w:bCs/>
          <w:color w:val="000000"/>
          <w:szCs w:val="21"/>
        </w:rPr>
        <w:t xml:space="preserve">GB 11614-2009     </w:t>
      </w:r>
      <w:r>
        <w:rPr>
          <w:bCs/>
          <w:color w:val="000000"/>
          <w:szCs w:val="21"/>
        </w:rPr>
        <w:t>平板玻璃</w:t>
      </w:r>
    </w:p>
    <w:p w:rsidR="00900862" w:rsidRDefault="0011126E">
      <w:pPr>
        <w:snapToGrid w:val="0"/>
        <w:spacing w:line="360" w:lineRule="auto"/>
        <w:ind w:firstLineChars="200" w:firstLine="420"/>
        <w:rPr>
          <w:bCs/>
          <w:color w:val="000000"/>
          <w:szCs w:val="21"/>
        </w:rPr>
      </w:pPr>
      <w:r>
        <w:rPr>
          <w:bCs/>
          <w:color w:val="000000"/>
          <w:szCs w:val="21"/>
        </w:rPr>
        <w:t xml:space="preserve">GB/T 2680-1994    </w:t>
      </w:r>
      <w:r>
        <w:rPr>
          <w:bCs/>
          <w:color w:val="000000"/>
          <w:szCs w:val="21"/>
        </w:rPr>
        <w:t>建筑玻璃</w:t>
      </w:r>
      <w:r>
        <w:rPr>
          <w:bCs/>
          <w:color w:val="000000"/>
          <w:szCs w:val="21"/>
        </w:rPr>
        <w:t xml:space="preserve"> </w:t>
      </w:r>
      <w:r>
        <w:rPr>
          <w:bCs/>
          <w:color w:val="000000"/>
          <w:szCs w:val="21"/>
        </w:rPr>
        <w:t>可见光透射比、太阳光直接透射比、太阳能总透射比、紫外线透射比及有关窗玻璃参数的测定</w:t>
      </w:r>
      <w:r>
        <w:rPr>
          <w:bCs/>
          <w:color w:val="000000"/>
          <w:szCs w:val="21"/>
        </w:rPr>
        <w:t xml:space="preserve"> </w:t>
      </w:r>
    </w:p>
    <w:p w:rsidR="00900862" w:rsidRDefault="0011126E">
      <w:pPr>
        <w:snapToGrid w:val="0"/>
        <w:spacing w:line="360" w:lineRule="auto"/>
        <w:ind w:firstLineChars="200" w:firstLine="420"/>
        <w:rPr>
          <w:bCs/>
          <w:color w:val="000000"/>
          <w:szCs w:val="21"/>
        </w:rPr>
      </w:pPr>
      <w:r>
        <w:rPr>
          <w:bCs/>
          <w:color w:val="000000"/>
          <w:szCs w:val="21"/>
        </w:rPr>
        <w:t xml:space="preserve">CCGF 417.2-2015   </w:t>
      </w:r>
      <w:r>
        <w:rPr>
          <w:bCs/>
          <w:color w:val="000000"/>
          <w:szCs w:val="21"/>
        </w:rPr>
        <w:t>平板玻璃产品质量监督抽查实施规范</w:t>
      </w:r>
    </w:p>
    <w:p w:rsidR="00900862" w:rsidRDefault="0011126E">
      <w:pPr>
        <w:snapToGrid w:val="0"/>
        <w:spacing w:line="360" w:lineRule="auto"/>
        <w:ind w:firstLineChars="200" w:firstLine="420"/>
        <w:rPr>
          <w:bCs/>
          <w:color w:val="000000"/>
          <w:szCs w:val="21"/>
        </w:rPr>
      </w:pPr>
      <w:r>
        <w:rPr>
          <w:bCs/>
          <w:color w:val="000000"/>
          <w:szCs w:val="21"/>
        </w:rPr>
        <w:t>现行有效的企业标准及产品明示质量要求</w:t>
      </w:r>
    </w:p>
    <w:p w:rsidR="00900862" w:rsidRDefault="0011126E">
      <w:pPr>
        <w:snapToGrid w:val="0"/>
        <w:spacing w:line="360" w:lineRule="auto"/>
        <w:ind w:firstLineChars="200" w:firstLine="420"/>
        <w:rPr>
          <w:bCs/>
          <w:color w:val="000000"/>
          <w:szCs w:val="21"/>
        </w:rPr>
      </w:pPr>
      <w:r>
        <w:rPr>
          <w:bCs/>
          <w:color w:val="000000"/>
          <w:szCs w:val="21"/>
        </w:rPr>
        <w:t>相关的法律法规、部门规章和</w:t>
      </w:r>
      <w:r>
        <w:rPr>
          <w:bCs/>
          <w:color w:val="000000"/>
          <w:szCs w:val="21"/>
        </w:rPr>
        <w:t>规范</w:t>
      </w:r>
    </w:p>
    <w:p w:rsidR="00900862" w:rsidRDefault="0011126E">
      <w:pPr>
        <w:snapToGrid w:val="0"/>
        <w:spacing w:line="360" w:lineRule="auto"/>
        <w:rPr>
          <w:b/>
          <w:color w:val="000000"/>
          <w:szCs w:val="21"/>
        </w:rPr>
      </w:pPr>
      <w:r>
        <w:rPr>
          <w:b/>
          <w:color w:val="000000"/>
          <w:szCs w:val="21"/>
        </w:rPr>
        <w:t>3.2</w:t>
      </w:r>
      <w:r>
        <w:rPr>
          <w:b/>
          <w:color w:val="000000"/>
          <w:szCs w:val="21"/>
        </w:rPr>
        <w:t>判定原则</w:t>
      </w:r>
    </w:p>
    <w:p w:rsidR="00900862" w:rsidRDefault="0011126E">
      <w:pPr>
        <w:snapToGrid w:val="0"/>
        <w:spacing w:line="360" w:lineRule="auto"/>
        <w:rPr>
          <w:b/>
          <w:color w:val="000000"/>
          <w:szCs w:val="21"/>
        </w:rPr>
      </w:pPr>
      <w:r>
        <w:rPr>
          <w:b/>
          <w:color w:val="000000"/>
          <w:szCs w:val="21"/>
        </w:rPr>
        <w:t>3.2.1</w:t>
      </w:r>
      <w:r>
        <w:rPr>
          <w:b/>
          <w:color w:val="000000"/>
          <w:szCs w:val="21"/>
        </w:rPr>
        <w:t>单项判定</w:t>
      </w:r>
    </w:p>
    <w:p w:rsidR="00900862" w:rsidRDefault="0011126E">
      <w:pPr>
        <w:spacing w:line="360" w:lineRule="auto"/>
        <w:ind w:firstLineChars="200" w:firstLine="420"/>
        <w:rPr>
          <w:rFonts w:eastAsiaTheme="minorEastAsia"/>
        </w:rPr>
      </w:pPr>
      <w:r>
        <w:rPr>
          <w:rFonts w:eastAsiaTheme="minorEastAsia"/>
          <w:color w:val="000000"/>
          <w:szCs w:val="21"/>
        </w:rPr>
        <w:lastRenderedPageBreak/>
        <w:t>1.</w:t>
      </w:r>
      <w:r>
        <w:rPr>
          <w:rFonts w:eastAsiaTheme="minorEastAsia"/>
        </w:rPr>
        <w:t>对厚度偏差、厚薄差、点状缺陷、点状缺陷密集度、线道、裂纹、光学变形、弯曲度进行检验时，一片玻璃其检验结果的上述指标均达到该等级的要求则该片玻璃为上述指标合格，否则为不合格。</w:t>
      </w:r>
    </w:p>
    <w:p w:rsidR="00900862" w:rsidRDefault="0011126E">
      <w:pPr>
        <w:spacing w:line="360" w:lineRule="auto"/>
        <w:ind w:firstLine="420"/>
        <w:rPr>
          <w:rFonts w:eastAsiaTheme="minorEastAsia"/>
        </w:rPr>
      </w:pPr>
      <w:r>
        <w:rPr>
          <w:rFonts w:eastAsiaTheme="minorEastAsia"/>
        </w:rPr>
        <w:t>样品数量为</w:t>
      </w:r>
      <w:r>
        <w:rPr>
          <w:rFonts w:eastAsiaTheme="minorEastAsia"/>
        </w:rPr>
        <w:t>20</w:t>
      </w:r>
      <w:r>
        <w:rPr>
          <w:rFonts w:eastAsiaTheme="minorEastAsia"/>
        </w:rPr>
        <w:t>片时，若不合格片数小于或等于</w:t>
      </w:r>
      <w:r>
        <w:rPr>
          <w:rFonts w:eastAsiaTheme="minorEastAsia"/>
        </w:rPr>
        <w:t>3</w:t>
      </w:r>
      <w:r>
        <w:rPr>
          <w:rFonts w:eastAsiaTheme="minorEastAsia"/>
        </w:rPr>
        <w:t>片，则被抽查产品上述指标合格；若不合格片数等于或大于</w:t>
      </w:r>
      <w:r>
        <w:rPr>
          <w:rFonts w:eastAsiaTheme="minorEastAsia"/>
        </w:rPr>
        <w:t>4</w:t>
      </w:r>
      <w:r>
        <w:rPr>
          <w:rFonts w:eastAsiaTheme="minorEastAsia"/>
        </w:rPr>
        <w:t>片，则被抽查产品上述指标不合格；样品数量为</w:t>
      </w:r>
      <w:r>
        <w:rPr>
          <w:rFonts w:eastAsiaTheme="minorEastAsia"/>
        </w:rPr>
        <w:t>13</w:t>
      </w:r>
      <w:r>
        <w:rPr>
          <w:rFonts w:eastAsiaTheme="minorEastAsia"/>
        </w:rPr>
        <w:t>片时，若不合格片数小于或等于</w:t>
      </w:r>
      <w:r>
        <w:rPr>
          <w:rFonts w:eastAsiaTheme="minorEastAsia"/>
        </w:rPr>
        <w:t>2</w:t>
      </w:r>
      <w:r>
        <w:rPr>
          <w:rFonts w:eastAsiaTheme="minorEastAsia"/>
        </w:rPr>
        <w:t>片，则被抽查产品上述指标合格；若不合格片数等于或大于</w:t>
      </w:r>
      <w:r>
        <w:rPr>
          <w:rFonts w:eastAsiaTheme="minorEastAsia"/>
        </w:rPr>
        <w:t>3</w:t>
      </w:r>
      <w:r>
        <w:rPr>
          <w:rFonts w:eastAsiaTheme="minorEastAsia"/>
        </w:rPr>
        <w:t>片，则被抽查产品上述指标不合格；不合格的上述指标是指上述指标其中之一或其组合。</w:t>
      </w:r>
    </w:p>
    <w:p w:rsidR="00900862" w:rsidRDefault="0011126E">
      <w:pPr>
        <w:spacing w:line="360" w:lineRule="auto"/>
        <w:ind w:firstLineChars="200" w:firstLine="420"/>
      </w:pPr>
      <w:r>
        <w:rPr>
          <w:rFonts w:eastAsiaTheme="minorEastAsia"/>
          <w:color w:val="000000"/>
          <w:szCs w:val="21"/>
        </w:rPr>
        <w:t>2.</w:t>
      </w:r>
      <w:r>
        <w:rPr>
          <w:rFonts w:eastAsiaTheme="minorEastAsia"/>
        </w:rPr>
        <w:t>对</w:t>
      </w:r>
      <w:r>
        <w:t>无色透明平板玻璃可见光透射比进行检验时，若检验结果符合</w:t>
      </w:r>
      <w:r>
        <w:t>GB 11614</w:t>
      </w:r>
      <w:r>
        <w:t>的规定，则判定被抽查产品该项指标合格。</w:t>
      </w:r>
    </w:p>
    <w:p w:rsidR="00900862" w:rsidRDefault="0011126E">
      <w:pPr>
        <w:snapToGrid w:val="0"/>
        <w:spacing w:line="360" w:lineRule="auto"/>
        <w:rPr>
          <w:b/>
          <w:color w:val="000000"/>
          <w:szCs w:val="21"/>
        </w:rPr>
      </w:pPr>
      <w:r>
        <w:rPr>
          <w:b/>
          <w:color w:val="000000"/>
          <w:szCs w:val="21"/>
        </w:rPr>
        <w:t>3.2.2</w:t>
      </w:r>
      <w:r>
        <w:rPr>
          <w:b/>
          <w:color w:val="000000"/>
          <w:szCs w:val="21"/>
        </w:rPr>
        <w:t>综合判定</w:t>
      </w:r>
    </w:p>
    <w:p w:rsidR="00900862" w:rsidRDefault="0011126E">
      <w:pPr>
        <w:snapToGrid w:val="0"/>
        <w:spacing w:line="360" w:lineRule="auto"/>
        <w:ind w:firstLineChars="200" w:firstLine="420"/>
        <w:rPr>
          <w:color w:val="000000"/>
          <w:szCs w:val="21"/>
        </w:rPr>
      </w:pPr>
      <w:r>
        <w:t>经检验，检验项目单项判定全部合格，判定为被抽查产品合格；检验项目中任</w:t>
      </w:r>
      <w:r>
        <w:t>一项或一项以上单项判定不合格，判定为抽查产品不合格。其中当产品存在</w:t>
      </w:r>
      <w:r>
        <w:t>A</w:t>
      </w:r>
      <w:r>
        <w:t>类项目不合格时，属于严重不合格</w:t>
      </w:r>
      <w:r>
        <w:rPr>
          <w:color w:val="000000"/>
          <w:szCs w:val="21"/>
        </w:rPr>
        <w:t>。</w:t>
      </w:r>
    </w:p>
    <w:p w:rsidR="00900862" w:rsidRDefault="0011126E" w:rsidP="006272E9">
      <w:pPr>
        <w:snapToGrid w:val="0"/>
        <w:spacing w:line="360" w:lineRule="auto"/>
        <w:ind w:firstLineChars="199" w:firstLine="418"/>
        <w:rPr>
          <w:color w:val="000000"/>
          <w:szCs w:val="21"/>
        </w:rPr>
      </w:pPr>
      <w:r>
        <w:rPr>
          <w:color w:val="000000"/>
          <w:szCs w:val="21"/>
        </w:rPr>
        <w:t>若被检产品明示的质量要求高于本细则中检验项目依据的标准要求时，应按被检产品明示的质量要求判定。</w:t>
      </w:r>
    </w:p>
    <w:p w:rsidR="00900862" w:rsidRDefault="0011126E" w:rsidP="006272E9">
      <w:pPr>
        <w:snapToGrid w:val="0"/>
        <w:spacing w:line="360" w:lineRule="auto"/>
        <w:ind w:firstLineChars="199" w:firstLine="418"/>
        <w:rPr>
          <w:color w:val="000000"/>
          <w:szCs w:val="21"/>
        </w:rPr>
      </w:pPr>
      <w:r>
        <w:rPr>
          <w:color w:val="000000"/>
          <w:szCs w:val="21"/>
        </w:rPr>
        <w:t>若被检产品明示的质量要求低于本细则中检验项目依据的强制性标准要求时，应按照强制性标准要求判定。</w:t>
      </w:r>
    </w:p>
    <w:p w:rsidR="00900862" w:rsidRDefault="0011126E" w:rsidP="006272E9">
      <w:pPr>
        <w:snapToGrid w:val="0"/>
        <w:spacing w:line="360" w:lineRule="auto"/>
        <w:ind w:firstLineChars="199" w:firstLine="418"/>
        <w:rPr>
          <w:szCs w:val="21"/>
        </w:rPr>
      </w:pPr>
      <w:r>
        <w:rPr>
          <w:szCs w:val="21"/>
        </w:rPr>
        <w:t>若被检产品明示的质量要求低于或包含细则中检验项目依据的推荐性标准要求时，应以被检产品明示的质量要求判定，但应在检验报告备注中进行说明。</w:t>
      </w:r>
    </w:p>
    <w:p w:rsidR="00900862" w:rsidRDefault="0011126E" w:rsidP="006272E9">
      <w:pPr>
        <w:snapToGrid w:val="0"/>
        <w:spacing w:line="360" w:lineRule="auto"/>
        <w:ind w:firstLineChars="199" w:firstLine="418"/>
        <w:rPr>
          <w:color w:val="000000"/>
          <w:szCs w:val="21"/>
        </w:rPr>
      </w:pPr>
      <w:r>
        <w:rPr>
          <w:color w:val="000000"/>
          <w:szCs w:val="21"/>
        </w:rPr>
        <w:t>若被检产品明示的质量要求缺少本细则中检验项目依据的强制性标准要求时，应按照强制性标准要求判定。</w:t>
      </w:r>
    </w:p>
    <w:p w:rsidR="00900862" w:rsidRDefault="0011126E" w:rsidP="006272E9">
      <w:pPr>
        <w:snapToGrid w:val="0"/>
        <w:spacing w:line="360" w:lineRule="auto"/>
        <w:ind w:firstLineChars="199" w:firstLine="418"/>
        <w:rPr>
          <w:color w:val="000000"/>
          <w:szCs w:val="21"/>
        </w:rPr>
      </w:pPr>
      <w:r>
        <w:rPr>
          <w:color w:val="000000"/>
          <w:szCs w:val="21"/>
        </w:rPr>
        <w:t>若被检产品明示的质量要求缺少本细则中检验项目依据的推荐性标准要求时，该项目不参与判定，但应在检验报告备注中进行说明。</w:t>
      </w:r>
    </w:p>
    <w:p w:rsidR="00900862" w:rsidRDefault="0011126E" w:rsidP="006272E9">
      <w:pPr>
        <w:snapToGrid w:val="0"/>
        <w:spacing w:line="360" w:lineRule="auto"/>
        <w:ind w:firstLineChars="199" w:firstLine="418"/>
      </w:pPr>
      <w:r>
        <w:t>样品未经检验发生破损，若碎片数量不多于</w:t>
      </w:r>
      <w:r>
        <w:t>7</w:t>
      </w:r>
      <w:r>
        <w:t>片，则从未破碎的样品中按顺序号取</w:t>
      </w:r>
      <w:r>
        <w:t>13</w:t>
      </w:r>
      <w:r>
        <w:t>片检验并判定；若碎片数量多于</w:t>
      </w:r>
      <w:r>
        <w:t>7</w:t>
      </w:r>
      <w:r>
        <w:t>片，则重新进行抽样工作。</w:t>
      </w:r>
    </w:p>
    <w:p w:rsidR="00900862" w:rsidRDefault="00900862">
      <w:pPr>
        <w:snapToGrid w:val="0"/>
        <w:spacing w:line="360" w:lineRule="auto"/>
        <w:rPr>
          <w:rFonts w:ascii="黑体" w:eastAsia="黑体" w:hAnsi="黑体"/>
          <w:b/>
          <w:color w:val="000000"/>
          <w:szCs w:val="21"/>
        </w:rPr>
      </w:pPr>
    </w:p>
    <w:p w:rsidR="00900862" w:rsidRDefault="0011126E">
      <w:pPr>
        <w:snapToGrid w:val="0"/>
        <w:spacing w:line="360" w:lineRule="auto"/>
        <w:rPr>
          <w:szCs w:val="21"/>
        </w:rPr>
      </w:pPr>
      <w:r>
        <w:rPr>
          <w:rFonts w:eastAsia="黑体"/>
          <w:b/>
          <w:szCs w:val="21"/>
          <w:lang/>
        </w:rPr>
        <w:t xml:space="preserve">4 </w:t>
      </w:r>
      <w:r>
        <w:rPr>
          <w:rFonts w:ascii="黑体" w:eastAsia="黑体" w:hAnsi="宋体" w:cs="黑体" w:hint="eastAsia"/>
          <w:b/>
          <w:szCs w:val="21"/>
          <w:lang/>
        </w:rPr>
        <w:t>异议处理</w:t>
      </w:r>
    </w:p>
    <w:p w:rsidR="00900862" w:rsidRDefault="0011126E" w:rsidP="006272E9">
      <w:pPr>
        <w:snapToGrid w:val="0"/>
        <w:spacing w:line="360" w:lineRule="auto"/>
        <w:ind w:firstLineChars="199" w:firstLine="418"/>
        <w:rPr>
          <w:color w:val="000000"/>
          <w:szCs w:val="21"/>
        </w:rPr>
      </w:pPr>
      <w:r>
        <w:rPr>
          <w:rFonts w:ascii="宋体" w:hAnsi="宋体" w:cs="宋体" w:hint="eastAsia"/>
          <w:noProof/>
          <w:color w:val="000000"/>
          <w:szCs w:val="21"/>
        </w:rPr>
        <w:drawing>
          <wp:anchor distT="0" distB="0" distL="114300" distR="114300" simplePos="0" relativeHeight="251661312" behindDoc="0" locked="0" layoutInCell="1" allowOverlap="1">
            <wp:simplePos x="0" y="0"/>
            <wp:positionH relativeFrom="column">
              <wp:posOffset>1432560</wp:posOffset>
            </wp:positionH>
            <wp:positionV relativeFrom="paragraph">
              <wp:posOffset>1295400</wp:posOffset>
            </wp:positionV>
            <wp:extent cx="2181225" cy="9525"/>
            <wp:effectExtent l="0" t="0" r="0" b="0"/>
            <wp:wrapNone/>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2"/>
                    <a:stretch>
                      <a:fillRect/>
                    </a:stretch>
                  </pic:blipFill>
                  <pic:spPr>
                    <a:xfrm>
                      <a:off x="0" y="0"/>
                      <a:ext cx="2181225" cy="9525"/>
                    </a:xfrm>
                    <a:prstGeom prst="rect">
                      <a:avLst/>
                    </a:prstGeom>
                    <a:noFill/>
                    <a:ln w="9525">
                      <a:noFill/>
                    </a:ln>
                  </pic:spPr>
                </pic:pic>
              </a:graphicData>
            </a:graphic>
          </wp:anchor>
        </w:drawing>
      </w:r>
      <w:r>
        <w:rPr>
          <w:rFonts w:ascii="宋体" w:hAnsi="宋体" w:cs="宋体" w:hint="eastAsia"/>
          <w:color w:val="000000"/>
          <w:szCs w:val="21"/>
          <w:lang/>
        </w:rPr>
        <w:t>对判定不合格产品进行异议处理时，按以下方式进行：</w:t>
      </w:r>
      <w:r>
        <w:rPr>
          <w:color w:val="000000"/>
          <w:szCs w:val="21"/>
          <w:lang/>
        </w:rPr>
        <w:br/>
      </w:r>
      <w:r>
        <w:rPr>
          <w:b/>
          <w:color w:val="000000"/>
          <w:szCs w:val="21"/>
          <w:lang/>
        </w:rPr>
        <w:t>4.1</w:t>
      </w:r>
      <w:r>
        <w:rPr>
          <w:rFonts w:ascii="宋体" w:hAnsi="宋体" w:cs="宋体" w:hint="eastAsia"/>
          <w:color w:val="000000"/>
          <w:szCs w:val="21"/>
          <w:lang/>
        </w:rPr>
        <w:t>市场监管部门负责接收、审核异议申请材料，对于同意复检的，通知检测机构复检。</w:t>
      </w:r>
      <w:r>
        <w:rPr>
          <w:color w:val="000000"/>
          <w:szCs w:val="21"/>
          <w:lang/>
        </w:rPr>
        <w:br/>
      </w:r>
      <w:r>
        <w:rPr>
          <w:b/>
          <w:color w:val="000000"/>
          <w:szCs w:val="21"/>
          <w:lang/>
        </w:rPr>
        <w:t>4.2</w:t>
      </w:r>
      <w:r>
        <w:rPr>
          <w:rFonts w:ascii="宋体" w:hAnsi="宋体" w:cs="宋体" w:hint="eastAsia"/>
          <w:color w:val="000000"/>
          <w:szCs w:val="21"/>
          <w:lang/>
        </w:rPr>
        <w:t>检测机构通</w:t>
      </w:r>
      <w:r>
        <w:rPr>
          <w:rFonts w:ascii="宋体" w:hAnsi="宋体" w:cs="宋体" w:hint="eastAsia"/>
          <w:color w:val="000000"/>
          <w:szCs w:val="21"/>
          <w:lang/>
        </w:rPr>
        <w:t>知异议申请人相关复检的安排。</w:t>
      </w:r>
      <w:r>
        <w:rPr>
          <w:color w:val="000000"/>
          <w:szCs w:val="21"/>
          <w:lang/>
        </w:rPr>
        <w:br/>
      </w:r>
      <w:r>
        <w:rPr>
          <w:b/>
          <w:color w:val="000000"/>
          <w:szCs w:val="21"/>
          <w:lang/>
        </w:rPr>
        <w:t>4.3</w:t>
      </w:r>
      <w:r>
        <w:rPr>
          <w:rFonts w:ascii="宋体" w:hAnsi="宋体" w:cs="宋体" w:hint="eastAsia"/>
          <w:color w:val="000000"/>
          <w:szCs w:val="21"/>
          <w:lang/>
        </w:rPr>
        <w:t>检测机构按照实施细则对异议项目进行复检，复检结论为异议处理的最终结论。</w:t>
      </w:r>
      <w:r>
        <w:rPr>
          <w:color w:val="000000"/>
          <w:szCs w:val="21"/>
          <w:lang/>
        </w:rPr>
        <w:br/>
      </w:r>
      <w:r>
        <w:rPr>
          <w:b/>
          <w:color w:val="000000"/>
          <w:szCs w:val="21"/>
          <w:lang/>
        </w:rPr>
        <w:t>4.4</w:t>
      </w:r>
      <w:r>
        <w:rPr>
          <w:rFonts w:ascii="宋体" w:hAnsi="宋体" w:cs="宋体" w:hint="eastAsia"/>
          <w:color w:val="000000"/>
          <w:szCs w:val="21"/>
          <w:lang/>
        </w:rPr>
        <w:t>市场监管部门将复检相关文书递送异议申请人。</w:t>
      </w:r>
    </w:p>
    <w:sectPr w:rsidR="00900862" w:rsidSect="00900862">
      <w:footerReference w:type="default" r:id="rId13"/>
      <w:pgSz w:w="11906" w:h="16838"/>
      <w:pgMar w:top="1985" w:right="1361" w:bottom="1361" w:left="158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26E" w:rsidRDefault="0011126E" w:rsidP="00900862">
      <w:r>
        <w:separator/>
      </w:r>
    </w:p>
  </w:endnote>
  <w:endnote w:type="continuationSeparator" w:id="1">
    <w:p w:rsidR="0011126E" w:rsidRDefault="0011126E" w:rsidP="009008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62" w:rsidRDefault="00900862">
    <w:pPr>
      <w:pStyle w:val="a7"/>
      <w:framePr w:wrap="around" w:vAnchor="text" w:hAnchor="margin" w:xAlign="center" w:y="1"/>
      <w:rPr>
        <w:rStyle w:val="a9"/>
      </w:rPr>
    </w:pPr>
    <w:r>
      <w:fldChar w:fldCharType="begin"/>
    </w:r>
    <w:r w:rsidR="0011126E">
      <w:rPr>
        <w:rStyle w:val="a9"/>
      </w:rPr>
      <w:instrText xml:space="preserve">PAGE  </w:instrText>
    </w:r>
    <w:r>
      <w:fldChar w:fldCharType="separate"/>
    </w:r>
    <w:r w:rsidR="0011126E">
      <w:rPr>
        <w:rStyle w:val="a9"/>
      </w:rPr>
      <w:t>2</w:t>
    </w:r>
    <w:r>
      <w:fldChar w:fldCharType="end"/>
    </w:r>
  </w:p>
  <w:p w:rsidR="00900862" w:rsidRDefault="0090086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62" w:rsidRDefault="00900862">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62" w:rsidRDefault="00900862">
    <w:pPr>
      <w:pStyle w:val="a7"/>
      <w:jc w:val="center"/>
    </w:pPr>
    <w:r>
      <w:rPr>
        <w:lang w:val="zh-CN"/>
      </w:rPr>
      <w:fldChar w:fldCharType="begin"/>
    </w:r>
    <w:r w:rsidR="0011126E">
      <w:rPr>
        <w:lang w:val="zh-CN"/>
      </w:rPr>
      <w:instrText xml:space="preserve"> PAGE   \* MERGEFORMAT </w:instrText>
    </w:r>
    <w:r>
      <w:rPr>
        <w:lang w:val="zh-CN"/>
      </w:rPr>
      <w:fldChar w:fldCharType="separate"/>
    </w:r>
    <w:r w:rsidR="006272E9" w:rsidRPr="006272E9">
      <w:rPr>
        <w:noProof/>
      </w:rPr>
      <w:t>3</w:t>
    </w:r>
    <w:r>
      <w:rPr>
        <w:lang w:val="zh-CN"/>
      </w:rPr>
      <w:fldChar w:fldCharType="end"/>
    </w:r>
  </w:p>
  <w:p w:rsidR="00900862" w:rsidRDefault="00900862">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26E" w:rsidRDefault="0011126E" w:rsidP="00900862">
      <w:r>
        <w:separator/>
      </w:r>
    </w:p>
  </w:footnote>
  <w:footnote w:type="continuationSeparator" w:id="1">
    <w:p w:rsidR="0011126E" w:rsidRDefault="0011126E" w:rsidP="009008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62" w:rsidRDefault="00900862">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0B18"/>
    <w:rsid w:val="000276A9"/>
    <w:rsid w:val="00035064"/>
    <w:rsid w:val="00037D8D"/>
    <w:rsid w:val="00051A44"/>
    <w:rsid w:val="00071001"/>
    <w:rsid w:val="00081CBD"/>
    <w:rsid w:val="0009399B"/>
    <w:rsid w:val="00093DE1"/>
    <w:rsid w:val="000976DE"/>
    <w:rsid w:val="000D0007"/>
    <w:rsid w:val="000D3759"/>
    <w:rsid w:val="000F64F9"/>
    <w:rsid w:val="000F6E44"/>
    <w:rsid w:val="000F7E56"/>
    <w:rsid w:val="001035C2"/>
    <w:rsid w:val="0011126E"/>
    <w:rsid w:val="0013269F"/>
    <w:rsid w:val="001649E0"/>
    <w:rsid w:val="001715A9"/>
    <w:rsid w:val="00172A27"/>
    <w:rsid w:val="00175489"/>
    <w:rsid w:val="001754B1"/>
    <w:rsid w:val="001809DD"/>
    <w:rsid w:val="0018638C"/>
    <w:rsid w:val="001C4F34"/>
    <w:rsid w:val="001D1FBC"/>
    <w:rsid w:val="001D6824"/>
    <w:rsid w:val="001E4729"/>
    <w:rsid w:val="00210539"/>
    <w:rsid w:val="00223317"/>
    <w:rsid w:val="0024664C"/>
    <w:rsid w:val="00253624"/>
    <w:rsid w:val="00253892"/>
    <w:rsid w:val="002710B5"/>
    <w:rsid w:val="00274E3E"/>
    <w:rsid w:val="002825C2"/>
    <w:rsid w:val="00287B95"/>
    <w:rsid w:val="00293B52"/>
    <w:rsid w:val="002A7719"/>
    <w:rsid w:val="002A7D1C"/>
    <w:rsid w:val="002B50E7"/>
    <w:rsid w:val="002D7F8A"/>
    <w:rsid w:val="002E0D1D"/>
    <w:rsid w:val="002E1EAC"/>
    <w:rsid w:val="002E68A8"/>
    <w:rsid w:val="002E772A"/>
    <w:rsid w:val="002F49EA"/>
    <w:rsid w:val="003066C5"/>
    <w:rsid w:val="00306A87"/>
    <w:rsid w:val="00314724"/>
    <w:rsid w:val="003203A3"/>
    <w:rsid w:val="00326F8B"/>
    <w:rsid w:val="00355F78"/>
    <w:rsid w:val="00363AAD"/>
    <w:rsid w:val="00371567"/>
    <w:rsid w:val="00375E4A"/>
    <w:rsid w:val="0039208F"/>
    <w:rsid w:val="00392A15"/>
    <w:rsid w:val="003A1E75"/>
    <w:rsid w:val="003B226D"/>
    <w:rsid w:val="003C388C"/>
    <w:rsid w:val="003C4CFD"/>
    <w:rsid w:val="003D0118"/>
    <w:rsid w:val="003E4890"/>
    <w:rsid w:val="003E61BF"/>
    <w:rsid w:val="00427D8E"/>
    <w:rsid w:val="00441CD2"/>
    <w:rsid w:val="00442A9A"/>
    <w:rsid w:val="00445E86"/>
    <w:rsid w:val="00457A50"/>
    <w:rsid w:val="00465593"/>
    <w:rsid w:val="00474E04"/>
    <w:rsid w:val="004820E0"/>
    <w:rsid w:val="00490A9C"/>
    <w:rsid w:val="00494FD9"/>
    <w:rsid w:val="004A2393"/>
    <w:rsid w:val="004C0FB9"/>
    <w:rsid w:val="004D0C5A"/>
    <w:rsid w:val="004D0E11"/>
    <w:rsid w:val="004D25D5"/>
    <w:rsid w:val="004E1396"/>
    <w:rsid w:val="004F4DF1"/>
    <w:rsid w:val="00504BC2"/>
    <w:rsid w:val="00515553"/>
    <w:rsid w:val="005317D6"/>
    <w:rsid w:val="005608C8"/>
    <w:rsid w:val="00560BA9"/>
    <w:rsid w:val="00562AAD"/>
    <w:rsid w:val="00562C96"/>
    <w:rsid w:val="00563EBC"/>
    <w:rsid w:val="00571E78"/>
    <w:rsid w:val="005C6FBF"/>
    <w:rsid w:val="005E6A3B"/>
    <w:rsid w:val="005F00E7"/>
    <w:rsid w:val="00601CCA"/>
    <w:rsid w:val="006241C7"/>
    <w:rsid w:val="006272E9"/>
    <w:rsid w:val="00643C90"/>
    <w:rsid w:val="006617E9"/>
    <w:rsid w:val="00664DE7"/>
    <w:rsid w:val="00665E5B"/>
    <w:rsid w:val="006661AC"/>
    <w:rsid w:val="00682A96"/>
    <w:rsid w:val="006B3511"/>
    <w:rsid w:val="006B7ACD"/>
    <w:rsid w:val="006F0971"/>
    <w:rsid w:val="007035AB"/>
    <w:rsid w:val="007064E0"/>
    <w:rsid w:val="0070658D"/>
    <w:rsid w:val="007076A7"/>
    <w:rsid w:val="00720D95"/>
    <w:rsid w:val="00721C12"/>
    <w:rsid w:val="00722441"/>
    <w:rsid w:val="0072334C"/>
    <w:rsid w:val="0074174D"/>
    <w:rsid w:val="00756A15"/>
    <w:rsid w:val="007626BB"/>
    <w:rsid w:val="00764B44"/>
    <w:rsid w:val="00785F6F"/>
    <w:rsid w:val="00796065"/>
    <w:rsid w:val="007B1DF1"/>
    <w:rsid w:val="007B3BBD"/>
    <w:rsid w:val="007C6565"/>
    <w:rsid w:val="007D4454"/>
    <w:rsid w:val="007D5622"/>
    <w:rsid w:val="007D7F54"/>
    <w:rsid w:val="007E7FDE"/>
    <w:rsid w:val="007F26B4"/>
    <w:rsid w:val="0080654F"/>
    <w:rsid w:val="00811602"/>
    <w:rsid w:val="008121A2"/>
    <w:rsid w:val="0081453E"/>
    <w:rsid w:val="00832480"/>
    <w:rsid w:val="0083350B"/>
    <w:rsid w:val="00833A7C"/>
    <w:rsid w:val="00835F10"/>
    <w:rsid w:val="0084366D"/>
    <w:rsid w:val="00854F6E"/>
    <w:rsid w:val="00861EA2"/>
    <w:rsid w:val="00865D04"/>
    <w:rsid w:val="00875457"/>
    <w:rsid w:val="00895BEA"/>
    <w:rsid w:val="008A0055"/>
    <w:rsid w:val="008A0FF4"/>
    <w:rsid w:val="008A3497"/>
    <w:rsid w:val="008A5AF6"/>
    <w:rsid w:val="008A5D98"/>
    <w:rsid w:val="008B69C6"/>
    <w:rsid w:val="008B6AA6"/>
    <w:rsid w:val="008E73FB"/>
    <w:rsid w:val="008F2CA7"/>
    <w:rsid w:val="00900862"/>
    <w:rsid w:val="009055F7"/>
    <w:rsid w:val="00916DA0"/>
    <w:rsid w:val="00917A54"/>
    <w:rsid w:val="0092586F"/>
    <w:rsid w:val="009339AE"/>
    <w:rsid w:val="00936209"/>
    <w:rsid w:val="009439DD"/>
    <w:rsid w:val="0094409B"/>
    <w:rsid w:val="009443F6"/>
    <w:rsid w:val="009659A3"/>
    <w:rsid w:val="00970159"/>
    <w:rsid w:val="00972E10"/>
    <w:rsid w:val="00973B12"/>
    <w:rsid w:val="00981D9D"/>
    <w:rsid w:val="00986872"/>
    <w:rsid w:val="00990ED7"/>
    <w:rsid w:val="00992BA6"/>
    <w:rsid w:val="009B4C79"/>
    <w:rsid w:val="009D29B0"/>
    <w:rsid w:val="009D7B49"/>
    <w:rsid w:val="009E73FD"/>
    <w:rsid w:val="009F1A06"/>
    <w:rsid w:val="009F265F"/>
    <w:rsid w:val="009F3DD8"/>
    <w:rsid w:val="009F6B32"/>
    <w:rsid w:val="00A047E3"/>
    <w:rsid w:val="00A3318D"/>
    <w:rsid w:val="00A4314A"/>
    <w:rsid w:val="00A43553"/>
    <w:rsid w:val="00A461E9"/>
    <w:rsid w:val="00A52628"/>
    <w:rsid w:val="00A62B41"/>
    <w:rsid w:val="00A8284B"/>
    <w:rsid w:val="00A8778B"/>
    <w:rsid w:val="00A95167"/>
    <w:rsid w:val="00AA2B3B"/>
    <w:rsid w:val="00AA2BE0"/>
    <w:rsid w:val="00AB47A2"/>
    <w:rsid w:val="00AB6150"/>
    <w:rsid w:val="00AB73A8"/>
    <w:rsid w:val="00AC2C98"/>
    <w:rsid w:val="00AD1654"/>
    <w:rsid w:val="00AD5446"/>
    <w:rsid w:val="00AE199C"/>
    <w:rsid w:val="00AE73E2"/>
    <w:rsid w:val="00B052CD"/>
    <w:rsid w:val="00B07D2D"/>
    <w:rsid w:val="00B11A9D"/>
    <w:rsid w:val="00B11F7B"/>
    <w:rsid w:val="00B17C91"/>
    <w:rsid w:val="00B21ADC"/>
    <w:rsid w:val="00B4421F"/>
    <w:rsid w:val="00B5085A"/>
    <w:rsid w:val="00B6027C"/>
    <w:rsid w:val="00B60FC4"/>
    <w:rsid w:val="00B71D32"/>
    <w:rsid w:val="00B92EA8"/>
    <w:rsid w:val="00B94B23"/>
    <w:rsid w:val="00BA29DB"/>
    <w:rsid w:val="00BA39E8"/>
    <w:rsid w:val="00BA444C"/>
    <w:rsid w:val="00BB5545"/>
    <w:rsid w:val="00BC0F3D"/>
    <w:rsid w:val="00BC11AA"/>
    <w:rsid w:val="00BC2570"/>
    <w:rsid w:val="00BC2FF0"/>
    <w:rsid w:val="00BD46C8"/>
    <w:rsid w:val="00BD5E15"/>
    <w:rsid w:val="00BF04E2"/>
    <w:rsid w:val="00BF2499"/>
    <w:rsid w:val="00C04BB6"/>
    <w:rsid w:val="00C11645"/>
    <w:rsid w:val="00C24760"/>
    <w:rsid w:val="00C26074"/>
    <w:rsid w:val="00C353D5"/>
    <w:rsid w:val="00C5014D"/>
    <w:rsid w:val="00C54BC5"/>
    <w:rsid w:val="00C54FB2"/>
    <w:rsid w:val="00C550A8"/>
    <w:rsid w:val="00C77CE3"/>
    <w:rsid w:val="00C83B0A"/>
    <w:rsid w:val="00C94824"/>
    <w:rsid w:val="00CA0F7D"/>
    <w:rsid w:val="00CB4CFB"/>
    <w:rsid w:val="00CC2730"/>
    <w:rsid w:val="00CC3BFE"/>
    <w:rsid w:val="00CC3F7B"/>
    <w:rsid w:val="00CD0BD6"/>
    <w:rsid w:val="00CE09EF"/>
    <w:rsid w:val="00CE1E0C"/>
    <w:rsid w:val="00CE277E"/>
    <w:rsid w:val="00CE2D77"/>
    <w:rsid w:val="00CF0449"/>
    <w:rsid w:val="00D13156"/>
    <w:rsid w:val="00D15D3E"/>
    <w:rsid w:val="00D31AD0"/>
    <w:rsid w:val="00D356AC"/>
    <w:rsid w:val="00D35FFD"/>
    <w:rsid w:val="00D45E0D"/>
    <w:rsid w:val="00D56867"/>
    <w:rsid w:val="00D65C59"/>
    <w:rsid w:val="00DB64FE"/>
    <w:rsid w:val="00DB6E0E"/>
    <w:rsid w:val="00DC19FC"/>
    <w:rsid w:val="00DC7251"/>
    <w:rsid w:val="00DE5A74"/>
    <w:rsid w:val="00DF135C"/>
    <w:rsid w:val="00DF342C"/>
    <w:rsid w:val="00E02A7F"/>
    <w:rsid w:val="00E07880"/>
    <w:rsid w:val="00E178E4"/>
    <w:rsid w:val="00E20E35"/>
    <w:rsid w:val="00E33691"/>
    <w:rsid w:val="00E601F3"/>
    <w:rsid w:val="00E66936"/>
    <w:rsid w:val="00E753E6"/>
    <w:rsid w:val="00E82621"/>
    <w:rsid w:val="00E82AA9"/>
    <w:rsid w:val="00E85E2F"/>
    <w:rsid w:val="00E912DD"/>
    <w:rsid w:val="00EA66F7"/>
    <w:rsid w:val="00EB023B"/>
    <w:rsid w:val="00EB2BD1"/>
    <w:rsid w:val="00EC01EC"/>
    <w:rsid w:val="00EE2F85"/>
    <w:rsid w:val="00EE53BC"/>
    <w:rsid w:val="00F01BEC"/>
    <w:rsid w:val="00F030E4"/>
    <w:rsid w:val="00F370D1"/>
    <w:rsid w:val="00F41F1B"/>
    <w:rsid w:val="00F46DFA"/>
    <w:rsid w:val="00F51B27"/>
    <w:rsid w:val="00F5233C"/>
    <w:rsid w:val="00F721D8"/>
    <w:rsid w:val="00F77C9A"/>
    <w:rsid w:val="00F91EF2"/>
    <w:rsid w:val="00F9402A"/>
    <w:rsid w:val="00F9792E"/>
    <w:rsid w:val="00FB2570"/>
    <w:rsid w:val="00FB576C"/>
    <w:rsid w:val="00FD2AA6"/>
    <w:rsid w:val="00FD5A2A"/>
    <w:rsid w:val="00FD76A0"/>
    <w:rsid w:val="00FE7E8A"/>
    <w:rsid w:val="00FF477D"/>
    <w:rsid w:val="0F4A7D3F"/>
    <w:rsid w:val="0FCE135A"/>
    <w:rsid w:val="186862B8"/>
    <w:rsid w:val="19A2504A"/>
    <w:rsid w:val="19BE3706"/>
    <w:rsid w:val="1AD97324"/>
    <w:rsid w:val="1B310649"/>
    <w:rsid w:val="1BA004BA"/>
    <w:rsid w:val="1BAC7F86"/>
    <w:rsid w:val="21271E30"/>
    <w:rsid w:val="22A70FE7"/>
    <w:rsid w:val="23A73E74"/>
    <w:rsid w:val="25901ED5"/>
    <w:rsid w:val="27086F18"/>
    <w:rsid w:val="27EE2B60"/>
    <w:rsid w:val="2A520044"/>
    <w:rsid w:val="308675AA"/>
    <w:rsid w:val="3BA713EC"/>
    <w:rsid w:val="3E6E32C4"/>
    <w:rsid w:val="43AE4947"/>
    <w:rsid w:val="4BEC1766"/>
    <w:rsid w:val="4C224BFA"/>
    <w:rsid w:val="4F891FE9"/>
    <w:rsid w:val="50052A51"/>
    <w:rsid w:val="52133DDD"/>
    <w:rsid w:val="56A3467A"/>
    <w:rsid w:val="5A522FD2"/>
    <w:rsid w:val="5F7A31EE"/>
    <w:rsid w:val="60387B56"/>
    <w:rsid w:val="62A10094"/>
    <w:rsid w:val="6A1C6093"/>
    <w:rsid w:val="6A9F048E"/>
    <w:rsid w:val="70FB370B"/>
    <w:rsid w:val="755271FF"/>
    <w:rsid w:val="7B0E2FBE"/>
    <w:rsid w:val="7E8965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lock Text" w:semiHidden="0" w:unhideWhenUsed="0" w:qFormat="1"/>
    <w:lsdException w:name="Strong" w:semiHidden="0" w:uiPriority="22" w:unhideWhenUsed="0" w:qFormat="1"/>
    <w:lsdException w:name="Emphasis" w:semiHidden="0" w:uiPriority="20" w:unhideWhenUsed="0" w:qFormat="1"/>
    <w:lsdException w:name="Balloon Text" w:semiHidden="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8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900862"/>
    <w:pPr>
      <w:jc w:val="left"/>
    </w:pPr>
  </w:style>
  <w:style w:type="paragraph" w:styleId="a4">
    <w:name w:val="Block Text"/>
    <w:basedOn w:val="a"/>
    <w:uiPriority w:val="99"/>
    <w:qFormat/>
    <w:rsid w:val="00900862"/>
    <w:pPr>
      <w:widowControl/>
      <w:spacing w:before="100" w:beforeAutospacing="1" w:after="100" w:afterAutospacing="1"/>
      <w:jc w:val="left"/>
    </w:pPr>
    <w:rPr>
      <w:rFonts w:ascii="宋体" w:hAnsi="宋体" w:cs="宋体"/>
      <w:kern w:val="0"/>
      <w:sz w:val="24"/>
    </w:rPr>
  </w:style>
  <w:style w:type="paragraph" w:styleId="a5">
    <w:name w:val="Date"/>
    <w:basedOn w:val="a"/>
    <w:next w:val="a"/>
    <w:link w:val="Char0"/>
    <w:uiPriority w:val="99"/>
    <w:unhideWhenUsed/>
    <w:qFormat/>
    <w:rsid w:val="00900862"/>
    <w:pPr>
      <w:ind w:leftChars="2500" w:left="100"/>
    </w:pPr>
  </w:style>
  <w:style w:type="paragraph" w:styleId="a6">
    <w:name w:val="Balloon Text"/>
    <w:basedOn w:val="a"/>
    <w:link w:val="Char1"/>
    <w:uiPriority w:val="99"/>
    <w:unhideWhenUsed/>
    <w:qFormat/>
    <w:rsid w:val="00900862"/>
    <w:rPr>
      <w:sz w:val="18"/>
      <w:szCs w:val="18"/>
    </w:rPr>
  </w:style>
  <w:style w:type="paragraph" w:styleId="a7">
    <w:name w:val="footer"/>
    <w:basedOn w:val="a"/>
    <w:link w:val="Char2"/>
    <w:uiPriority w:val="99"/>
    <w:unhideWhenUsed/>
    <w:qFormat/>
    <w:rsid w:val="00900862"/>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900862"/>
    <w:pPr>
      <w:pBdr>
        <w:bottom w:val="single" w:sz="6" w:space="1" w:color="auto"/>
      </w:pBdr>
      <w:tabs>
        <w:tab w:val="center" w:pos="4153"/>
        <w:tab w:val="right" w:pos="8306"/>
      </w:tabs>
      <w:snapToGrid w:val="0"/>
      <w:jc w:val="center"/>
    </w:pPr>
    <w:rPr>
      <w:sz w:val="18"/>
      <w:szCs w:val="18"/>
    </w:rPr>
  </w:style>
  <w:style w:type="character" w:styleId="a9">
    <w:name w:val="page number"/>
    <w:basedOn w:val="a0"/>
    <w:qFormat/>
    <w:rsid w:val="00900862"/>
  </w:style>
  <w:style w:type="character" w:styleId="aa">
    <w:name w:val="annotation reference"/>
    <w:uiPriority w:val="99"/>
    <w:unhideWhenUsed/>
    <w:qFormat/>
    <w:rsid w:val="00900862"/>
    <w:rPr>
      <w:sz w:val="21"/>
      <w:szCs w:val="21"/>
    </w:rPr>
  </w:style>
  <w:style w:type="table" w:styleId="ab">
    <w:name w:val="Table Grid"/>
    <w:basedOn w:val="a1"/>
    <w:uiPriority w:val="99"/>
    <w:unhideWhenUsed/>
    <w:qFormat/>
    <w:rsid w:val="009008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ighlight">
    <w:name w:val="highlight"/>
    <w:basedOn w:val="a0"/>
    <w:qFormat/>
    <w:rsid w:val="00900862"/>
  </w:style>
  <w:style w:type="character" w:customStyle="1" w:styleId="Char0">
    <w:name w:val="日期 Char"/>
    <w:link w:val="a5"/>
    <w:uiPriority w:val="99"/>
    <w:semiHidden/>
    <w:qFormat/>
    <w:rsid w:val="00900862"/>
    <w:rPr>
      <w:kern w:val="2"/>
      <w:sz w:val="21"/>
      <w:szCs w:val="24"/>
    </w:rPr>
  </w:style>
  <w:style w:type="character" w:customStyle="1" w:styleId="Char2">
    <w:name w:val="页脚 Char"/>
    <w:link w:val="a7"/>
    <w:uiPriority w:val="99"/>
    <w:qFormat/>
    <w:rsid w:val="00900862"/>
    <w:rPr>
      <w:kern w:val="2"/>
      <w:sz w:val="18"/>
      <w:szCs w:val="18"/>
    </w:rPr>
  </w:style>
  <w:style w:type="character" w:customStyle="1" w:styleId="Char">
    <w:name w:val="批注文字 Char"/>
    <w:link w:val="a3"/>
    <w:uiPriority w:val="99"/>
    <w:semiHidden/>
    <w:qFormat/>
    <w:rsid w:val="00900862"/>
    <w:rPr>
      <w:kern w:val="2"/>
      <w:sz w:val="21"/>
      <w:szCs w:val="24"/>
    </w:rPr>
  </w:style>
  <w:style w:type="character" w:customStyle="1" w:styleId="Char3">
    <w:name w:val="页眉 Char"/>
    <w:link w:val="a8"/>
    <w:uiPriority w:val="99"/>
    <w:semiHidden/>
    <w:qFormat/>
    <w:rsid w:val="00900862"/>
    <w:rPr>
      <w:kern w:val="2"/>
      <w:sz w:val="18"/>
      <w:szCs w:val="18"/>
    </w:rPr>
  </w:style>
  <w:style w:type="character" w:customStyle="1" w:styleId="Char1">
    <w:name w:val="批注框文本 Char"/>
    <w:link w:val="a6"/>
    <w:uiPriority w:val="99"/>
    <w:semiHidden/>
    <w:qFormat/>
    <w:rsid w:val="00900862"/>
    <w:rPr>
      <w:kern w:val="2"/>
      <w:sz w:val="18"/>
      <w:szCs w:val="18"/>
    </w:rPr>
  </w:style>
  <w:style w:type="paragraph" w:customStyle="1" w:styleId="1">
    <w:name w:val="列出段落1"/>
    <w:basedOn w:val="a"/>
    <w:uiPriority w:val="34"/>
    <w:qFormat/>
    <w:rsid w:val="00900862"/>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341</Words>
  <Characters>1948</Characters>
  <Application>Microsoft Office Word</Application>
  <DocSecurity>0</DocSecurity>
  <Lines>16</Lines>
  <Paragraphs>4</Paragraphs>
  <ScaleCrop>false</ScaleCrop>
  <Company>Legend (Beijing) Limited</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××产品质量监督抽查实施细则</dc:title>
  <dc:creator>Legend User</dc:creator>
  <cp:lastModifiedBy>lenovo</cp:lastModifiedBy>
  <cp:revision>4</cp:revision>
  <cp:lastPrinted>2019-12-05T07:53:00Z</cp:lastPrinted>
  <dcterms:created xsi:type="dcterms:W3CDTF">2020-04-08T03:25:00Z</dcterms:created>
  <dcterms:modified xsi:type="dcterms:W3CDTF">2020-09-01T10:12:00Z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