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579" w:tblpY="94"/>
        <w:tblOverlap w:val="never"/>
        <w:tblW w:w="9173" w:type="dxa"/>
        <w:tblBorders>
          <w:bottom w:val="single" w:sz="4" w:space="0" w:color="auto"/>
        </w:tblBorders>
        <w:tblLayout w:type="fixed"/>
        <w:tblLook w:val="04A0"/>
      </w:tblPr>
      <w:tblGrid>
        <w:gridCol w:w="9173"/>
      </w:tblGrid>
      <w:tr w:rsidR="00340CC8">
        <w:tc>
          <w:tcPr>
            <w:tcW w:w="9173" w:type="dxa"/>
          </w:tcPr>
          <w:p w:rsidR="00340CC8" w:rsidRDefault="00D54194">
            <w:pPr>
              <w:spacing w:line="360" w:lineRule="auto"/>
              <w:jc w:val="center"/>
              <w:rPr>
                <w:rFonts w:eastAsia="黑体"/>
                <w:spacing w:val="20"/>
                <w:w w:val="105"/>
                <w:sz w:val="52"/>
                <w:szCs w:val="52"/>
              </w:rPr>
            </w:pPr>
            <w:r>
              <w:rPr>
                <w:rFonts w:eastAsia="黑体"/>
                <w:spacing w:val="20"/>
                <w:w w:val="105"/>
                <w:sz w:val="52"/>
                <w:szCs w:val="52"/>
              </w:rPr>
              <w:t>产品质量监督抽查实施细则</w:t>
            </w:r>
          </w:p>
        </w:tc>
      </w:tr>
    </w:tbl>
    <w:p w:rsidR="00340CC8" w:rsidRDefault="00340CC8">
      <w:pPr>
        <w:adjustRightInd w:val="0"/>
        <w:spacing w:line="480" w:lineRule="exact"/>
        <w:rPr>
          <w:rFonts w:eastAsia="黑体"/>
          <w:sz w:val="32"/>
          <w:szCs w:val="32"/>
        </w:rPr>
      </w:pPr>
    </w:p>
    <w:p w:rsidR="00340CC8" w:rsidRDefault="00340CC8">
      <w:pPr>
        <w:adjustRightInd w:val="0"/>
        <w:spacing w:line="480" w:lineRule="exact"/>
        <w:jc w:val="center"/>
        <w:rPr>
          <w:rFonts w:eastAsia="黑体"/>
          <w:b/>
          <w:sz w:val="52"/>
          <w:szCs w:val="52"/>
        </w:rPr>
      </w:pPr>
    </w:p>
    <w:p w:rsidR="00340CC8" w:rsidRDefault="00340CC8">
      <w:pPr>
        <w:adjustRightInd w:val="0"/>
        <w:spacing w:line="480" w:lineRule="exact"/>
        <w:jc w:val="center"/>
        <w:rPr>
          <w:rFonts w:eastAsia="黑体"/>
          <w:b/>
          <w:sz w:val="52"/>
          <w:szCs w:val="52"/>
        </w:rPr>
      </w:pPr>
    </w:p>
    <w:p w:rsidR="00340CC8" w:rsidRDefault="00340CC8">
      <w:pPr>
        <w:adjustRightInd w:val="0"/>
        <w:spacing w:line="480" w:lineRule="exact"/>
        <w:jc w:val="center"/>
        <w:rPr>
          <w:rFonts w:eastAsia="黑体"/>
          <w:b/>
          <w:sz w:val="52"/>
          <w:szCs w:val="52"/>
        </w:rPr>
      </w:pPr>
    </w:p>
    <w:p w:rsidR="00340CC8" w:rsidRDefault="00340CC8">
      <w:pPr>
        <w:adjustRightInd w:val="0"/>
        <w:spacing w:line="480" w:lineRule="exact"/>
        <w:jc w:val="center"/>
        <w:rPr>
          <w:rFonts w:eastAsia="黑体"/>
          <w:b/>
          <w:sz w:val="52"/>
          <w:szCs w:val="52"/>
        </w:rPr>
      </w:pPr>
    </w:p>
    <w:p w:rsidR="00340CC8" w:rsidRDefault="00340CC8">
      <w:pPr>
        <w:adjustRightInd w:val="0"/>
        <w:spacing w:line="480" w:lineRule="exact"/>
        <w:jc w:val="center"/>
        <w:rPr>
          <w:rFonts w:eastAsia="黑体"/>
          <w:b/>
          <w:sz w:val="52"/>
          <w:szCs w:val="52"/>
        </w:rPr>
      </w:pPr>
    </w:p>
    <w:p w:rsidR="00340CC8" w:rsidRDefault="00340CC8">
      <w:pPr>
        <w:adjustRightInd w:val="0"/>
        <w:spacing w:line="480" w:lineRule="exact"/>
        <w:jc w:val="center"/>
        <w:rPr>
          <w:rFonts w:eastAsia="黑体"/>
          <w:b/>
          <w:sz w:val="52"/>
          <w:szCs w:val="52"/>
        </w:rPr>
      </w:pPr>
    </w:p>
    <w:p w:rsidR="00340CC8" w:rsidRDefault="00340CC8">
      <w:pPr>
        <w:adjustRightInd w:val="0"/>
        <w:spacing w:line="480" w:lineRule="exact"/>
        <w:jc w:val="center"/>
        <w:rPr>
          <w:rFonts w:eastAsia="黑体"/>
          <w:b/>
          <w:sz w:val="52"/>
          <w:szCs w:val="52"/>
        </w:rPr>
      </w:pPr>
    </w:p>
    <w:p w:rsidR="00340CC8" w:rsidRDefault="00340CC8">
      <w:pPr>
        <w:adjustRightInd w:val="0"/>
        <w:spacing w:line="480" w:lineRule="exact"/>
        <w:jc w:val="center"/>
        <w:rPr>
          <w:rFonts w:eastAsia="黑体"/>
          <w:b/>
          <w:sz w:val="52"/>
          <w:szCs w:val="52"/>
        </w:rPr>
      </w:pPr>
    </w:p>
    <w:p w:rsidR="00340CC8" w:rsidRDefault="00D54194">
      <w:pPr>
        <w:spacing w:line="600" w:lineRule="exact"/>
        <w:jc w:val="center"/>
        <w:rPr>
          <w:rFonts w:eastAsia="黑体" w:hAnsi="黑体"/>
          <w:b/>
          <w:bCs/>
          <w:sz w:val="44"/>
          <w:szCs w:val="44"/>
        </w:rPr>
      </w:pPr>
      <w:r>
        <w:rPr>
          <w:rFonts w:eastAsia="黑体"/>
          <w:b/>
          <w:bCs/>
          <w:sz w:val="44"/>
          <w:szCs w:val="44"/>
        </w:rPr>
        <w:t>2020</w:t>
      </w:r>
      <w:r>
        <w:rPr>
          <w:rFonts w:eastAsia="黑体" w:hAnsi="黑体"/>
          <w:b/>
          <w:bCs/>
          <w:sz w:val="44"/>
          <w:szCs w:val="44"/>
        </w:rPr>
        <w:t>年新疆生产建设兵团建筑安全玻璃</w:t>
      </w:r>
    </w:p>
    <w:p w:rsidR="00340CC8" w:rsidRDefault="00D54194">
      <w:pPr>
        <w:spacing w:line="600" w:lineRule="exact"/>
        <w:jc w:val="center"/>
        <w:rPr>
          <w:rFonts w:eastAsia="黑体"/>
          <w:b/>
          <w:bCs/>
          <w:sz w:val="44"/>
          <w:szCs w:val="44"/>
        </w:rPr>
      </w:pPr>
      <w:r>
        <w:rPr>
          <w:rFonts w:eastAsia="黑体" w:hAnsi="黑体"/>
          <w:b/>
          <w:bCs/>
          <w:sz w:val="44"/>
          <w:szCs w:val="44"/>
        </w:rPr>
        <w:t>产品质量监督抽查实施细则</w:t>
      </w:r>
    </w:p>
    <w:p w:rsidR="00340CC8" w:rsidRDefault="00340CC8">
      <w:pPr>
        <w:tabs>
          <w:tab w:val="left" w:pos="6930"/>
        </w:tabs>
        <w:adjustRightInd w:val="0"/>
        <w:spacing w:line="480" w:lineRule="exact"/>
        <w:jc w:val="left"/>
        <w:rPr>
          <w:rFonts w:eastAsia="黑体"/>
          <w:b/>
          <w:bCs/>
          <w:sz w:val="44"/>
          <w:szCs w:val="44"/>
        </w:rPr>
      </w:pPr>
    </w:p>
    <w:p w:rsidR="00340CC8" w:rsidRDefault="00340CC8">
      <w:pPr>
        <w:tabs>
          <w:tab w:val="left" w:pos="6930"/>
        </w:tabs>
        <w:adjustRightInd w:val="0"/>
        <w:spacing w:line="480" w:lineRule="exact"/>
        <w:jc w:val="left"/>
        <w:rPr>
          <w:rFonts w:eastAsia="黑体"/>
          <w:b/>
          <w:sz w:val="52"/>
          <w:szCs w:val="52"/>
        </w:rPr>
      </w:pPr>
    </w:p>
    <w:p w:rsidR="00340CC8" w:rsidRDefault="00340CC8">
      <w:pPr>
        <w:adjustRightInd w:val="0"/>
        <w:spacing w:line="480" w:lineRule="exact"/>
        <w:jc w:val="center"/>
        <w:rPr>
          <w:rFonts w:eastAsia="黑体"/>
          <w:b/>
          <w:sz w:val="52"/>
          <w:szCs w:val="52"/>
        </w:rPr>
      </w:pPr>
    </w:p>
    <w:p w:rsidR="00340CC8" w:rsidRDefault="00340CC8">
      <w:pPr>
        <w:adjustRightInd w:val="0"/>
        <w:spacing w:line="480" w:lineRule="exact"/>
        <w:jc w:val="center"/>
        <w:rPr>
          <w:rFonts w:eastAsia="黑体"/>
          <w:b/>
          <w:sz w:val="52"/>
          <w:szCs w:val="52"/>
        </w:rPr>
      </w:pPr>
    </w:p>
    <w:p w:rsidR="00340CC8" w:rsidRDefault="00340CC8">
      <w:pPr>
        <w:adjustRightInd w:val="0"/>
        <w:spacing w:line="480" w:lineRule="exact"/>
        <w:jc w:val="center"/>
        <w:rPr>
          <w:rFonts w:eastAsia="黑体"/>
          <w:b/>
          <w:sz w:val="52"/>
          <w:szCs w:val="52"/>
        </w:rPr>
      </w:pPr>
    </w:p>
    <w:p w:rsidR="00340CC8" w:rsidRDefault="00340CC8">
      <w:pPr>
        <w:adjustRightInd w:val="0"/>
        <w:spacing w:line="480" w:lineRule="exact"/>
        <w:jc w:val="center"/>
        <w:rPr>
          <w:rFonts w:eastAsia="黑体"/>
          <w:b/>
          <w:sz w:val="52"/>
          <w:szCs w:val="52"/>
        </w:rPr>
      </w:pPr>
    </w:p>
    <w:p w:rsidR="00340CC8" w:rsidRDefault="00340CC8">
      <w:pPr>
        <w:adjustRightInd w:val="0"/>
        <w:spacing w:line="480" w:lineRule="exact"/>
        <w:jc w:val="center"/>
        <w:rPr>
          <w:rFonts w:eastAsia="黑体"/>
          <w:b/>
          <w:sz w:val="52"/>
          <w:szCs w:val="52"/>
        </w:rPr>
      </w:pPr>
    </w:p>
    <w:p w:rsidR="00340CC8" w:rsidRDefault="00340CC8">
      <w:pPr>
        <w:adjustRightInd w:val="0"/>
        <w:spacing w:line="480" w:lineRule="exact"/>
        <w:jc w:val="center"/>
        <w:rPr>
          <w:rFonts w:eastAsia="黑体"/>
          <w:b/>
          <w:sz w:val="52"/>
          <w:szCs w:val="52"/>
        </w:rPr>
      </w:pPr>
    </w:p>
    <w:p w:rsidR="00340CC8" w:rsidRDefault="00340CC8">
      <w:pPr>
        <w:adjustRightInd w:val="0"/>
        <w:spacing w:line="480" w:lineRule="exact"/>
        <w:jc w:val="center"/>
        <w:rPr>
          <w:rFonts w:eastAsia="黑体"/>
          <w:b/>
          <w:sz w:val="52"/>
          <w:szCs w:val="52"/>
        </w:rPr>
      </w:pPr>
    </w:p>
    <w:p w:rsidR="00340CC8" w:rsidRDefault="00340CC8">
      <w:pPr>
        <w:adjustRightInd w:val="0"/>
        <w:spacing w:line="480" w:lineRule="exact"/>
        <w:rPr>
          <w:rFonts w:eastAsia="黑体"/>
          <w:b/>
          <w:sz w:val="52"/>
          <w:szCs w:val="52"/>
        </w:rPr>
      </w:pPr>
    </w:p>
    <w:p w:rsidR="00340CC8" w:rsidRDefault="00340CC8">
      <w:pPr>
        <w:adjustRightInd w:val="0"/>
        <w:spacing w:line="480" w:lineRule="exact"/>
        <w:rPr>
          <w:rFonts w:eastAsia="黑体"/>
          <w:b/>
          <w:sz w:val="52"/>
          <w:szCs w:val="52"/>
        </w:rPr>
      </w:pPr>
    </w:p>
    <w:p w:rsidR="00340CC8" w:rsidRDefault="00D54194">
      <w:pPr>
        <w:adjustRightInd w:val="0"/>
        <w:spacing w:line="480" w:lineRule="exact"/>
        <w:jc w:val="left"/>
        <w:rPr>
          <w:rFonts w:eastAsia="黑体"/>
          <w:bCs/>
          <w:sz w:val="24"/>
        </w:rPr>
      </w:pPr>
      <w:r>
        <w:rPr>
          <w:rFonts w:eastAsia="黑体"/>
          <w:bCs/>
          <w:sz w:val="24"/>
        </w:rPr>
        <w:t>2020-</w:t>
      </w:r>
      <w:r w:rsidR="0029788A">
        <w:rPr>
          <w:rFonts w:eastAsia="黑体" w:hint="eastAsia"/>
          <w:bCs/>
          <w:sz w:val="24"/>
        </w:rPr>
        <w:t>0</w:t>
      </w:r>
      <w:r w:rsidR="0029788A">
        <w:rPr>
          <w:rFonts w:eastAsia="黑体" w:hint="eastAsia"/>
          <w:bCs/>
          <w:sz w:val="24"/>
        </w:rPr>
        <w:t>9</w:t>
      </w:r>
      <w:r>
        <w:rPr>
          <w:rFonts w:eastAsia="黑体" w:hint="eastAsia"/>
          <w:bCs/>
          <w:sz w:val="24"/>
        </w:rPr>
        <w:t>-</w:t>
      </w:r>
      <w:r>
        <w:rPr>
          <w:rFonts w:eastAsia="黑体" w:hAnsi="黑体"/>
          <w:bCs/>
          <w:sz w:val="24"/>
        </w:rPr>
        <w:t>发布</w:t>
      </w:r>
      <w:r w:rsidR="0029788A">
        <w:rPr>
          <w:rFonts w:eastAsia="黑体" w:hAnsi="黑体" w:hint="eastAsia"/>
          <w:bCs/>
          <w:sz w:val="24"/>
        </w:rPr>
        <w:t xml:space="preserve">                                               </w:t>
      </w:r>
      <w:r>
        <w:rPr>
          <w:rFonts w:eastAsia="黑体"/>
          <w:bCs/>
          <w:sz w:val="24"/>
        </w:rPr>
        <w:t>2020-</w:t>
      </w:r>
      <w:r w:rsidR="0029788A">
        <w:rPr>
          <w:rFonts w:eastAsia="黑体"/>
          <w:bCs/>
          <w:sz w:val="24"/>
        </w:rPr>
        <w:t>0</w:t>
      </w:r>
      <w:r w:rsidR="0029788A">
        <w:rPr>
          <w:rFonts w:eastAsia="黑体" w:hint="eastAsia"/>
          <w:bCs/>
          <w:sz w:val="24"/>
        </w:rPr>
        <w:t>9</w:t>
      </w:r>
      <w:r>
        <w:rPr>
          <w:rFonts w:eastAsia="黑体" w:hint="eastAsia"/>
          <w:bCs/>
          <w:sz w:val="24"/>
        </w:rPr>
        <w:t>-</w:t>
      </w:r>
      <w:r>
        <w:rPr>
          <w:rFonts w:eastAsia="黑体" w:hAnsi="黑体"/>
          <w:bCs/>
          <w:sz w:val="24"/>
        </w:rPr>
        <w:t>实施</w:t>
      </w:r>
    </w:p>
    <w:tbl>
      <w:tblPr>
        <w:tblW w:w="8310" w:type="dxa"/>
        <w:tblInd w:w="138" w:type="dxa"/>
        <w:tblBorders>
          <w:top w:val="single" w:sz="4" w:space="0" w:color="auto"/>
        </w:tblBorders>
        <w:tblLayout w:type="fixed"/>
        <w:tblLook w:val="04A0"/>
      </w:tblPr>
      <w:tblGrid>
        <w:gridCol w:w="8310"/>
      </w:tblGrid>
      <w:tr w:rsidR="00340CC8">
        <w:trPr>
          <w:trHeight w:val="100"/>
        </w:trPr>
        <w:tc>
          <w:tcPr>
            <w:tcW w:w="8310" w:type="dxa"/>
          </w:tcPr>
          <w:p w:rsidR="00340CC8" w:rsidRDefault="00D54194">
            <w:pPr>
              <w:spacing w:line="360" w:lineRule="auto"/>
              <w:jc w:val="center"/>
              <w:rPr>
                <w:rFonts w:eastAsia="黑体"/>
                <w:bCs/>
                <w:sz w:val="32"/>
                <w:szCs w:val="32"/>
              </w:rPr>
            </w:pPr>
            <w:r>
              <w:rPr>
                <w:rFonts w:eastAsia="黑体"/>
                <w:bCs/>
                <w:sz w:val="32"/>
                <w:szCs w:val="32"/>
              </w:rPr>
              <w:t>新疆生产建设兵团市场监督管理局</w:t>
            </w:r>
          </w:p>
          <w:p w:rsidR="00340CC8" w:rsidRDefault="00340CC8">
            <w:pPr>
              <w:adjustRightInd w:val="0"/>
              <w:spacing w:line="480" w:lineRule="exact"/>
              <w:rPr>
                <w:rFonts w:eastAsia="黑体"/>
                <w:sz w:val="32"/>
                <w:szCs w:val="32"/>
              </w:rPr>
            </w:pPr>
          </w:p>
        </w:tc>
      </w:tr>
    </w:tbl>
    <w:p w:rsidR="00340CC8" w:rsidRDefault="00340CC8">
      <w:pPr>
        <w:adjustRightInd w:val="0"/>
        <w:snapToGrid w:val="0"/>
        <w:spacing w:line="360" w:lineRule="auto"/>
        <w:jc w:val="center"/>
        <w:rPr>
          <w:rFonts w:eastAsia="方正小标宋简体"/>
          <w:sz w:val="32"/>
          <w:szCs w:val="32"/>
        </w:rPr>
        <w:sectPr w:rsidR="00340CC8">
          <w:headerReference w:type="default" r:id="rId7"/>
          <w:footerReference w:type="even" r:id="rId8"/>
          <w:footerReference w:type="default" r:id="rId9"/>
          <w:pgSz w:w="11906" w:h="16838"/>
          <w:pgMar w:top="1985" w:right="1361" w:bottom="1361" w:left="1588" w:header="851" w:footer="992" w:gutter="0"/>
          <w:cols w:space="720"/>
          <w:docGrid w:type="lines" w:linePitch="312"/>
        </w:sectPr>
      </w:pPr>
    </w:p>
    <w:p w:rsidR="00340CC8" w:rsidRDefault="00D54194">
      <w:pPr>
        <w:adjustRightInd w:val="0"/>
        <w:snapToGrid w:val="0"/>
        <w:spacing w:line="560" w:lineRule="exact"/>
        <w:jc w:val="center"/>
        <w:rPr>
          <w:rFonts w:eastAsia="方正小标宋简体"/>
          <w:sz w:val="32"/>
          <w:szCs w:val="32"/>
        </w:rPr>
      </w:pPr>
      <w:r>
        <w:rPr>
          <w:rFonts w:eastAsia="方正小标宋简体"/>
          <w:sz w:val="32"/>
          <w:szCs w:val="32"/>
        </w:rPr>
        <w:lastRenderedPageBreak/>
        <w:t>2020</w:t>
      </w:r>
      <w:r>
        <w:rPr>
          <w:rFonts w:eastAsia="方正小标宋简体"/>
          <w:sz w:val="32"/>
          <w:szCs w:val="32"/>
        </w:rPr>
        <w:t>年新疆生产建设兵团建筑安全玻璃</w:t>
      </w:r>
    </w:p>
    <w:p w:rsidR="00340CC8" w:rsidRDefault="00D54194">
      <w:pPr>
        <w:adjustRightInd w:val="0"/>
        <w:snapToGrid w:val="0"/>
        <w:spacing w:line="560" w:lineRule="exact"/>
        <w:jc w:val="center"/>
        <w:rPr>
          <w:rFonts w:eastAsia="方正小标宋简体"/>
          <w:sz w:val="32"/>
          <w:szCs w:val="32"/>
        </w:rPr>
      </w:pPr>
      <w:r>
        <w:rPr>
          <w:rFonts w:eastAsia="方正小标宋简体"/>
          <w:sz w:val="32"/>
          <w:szCs w:val="32"/>
        </w:rPr>
        <w:t>产品质量监督抽查实施细则</w:t>
      </w:r>
    </w:p>
    <w:p w:rsidR="00340CC8" w:rsidRDefault="00D54194">
      <w:pPr>
        <w:adjustRightInd w:val="0"/>
        <w:snapToGrid w:val="0"/>
        <w:spacing w:line="440" w:lineRule="exact"/>
        <w:rPr>
          <w:rFonts w:eastAsia="黑体"/>
          <w:b/>
          <w:szCs w:val="21"/>
        </w:rPr>
      </w:pPr>
      <w:bookmarkStart w:id="0" w:name="_GoBack"/>
      <w:r>
        <w:rPr>
          <w:rFonts w:eastAsia="黑体"/>
          <w:b/>
          <w:szCs w:val="21"/>
        </w:rPr>
        <w:t xml:space="preserve">1 </w:t>
      </w:r>
      <w:r>
        <w:rPr>
          <w:rFonts w:eastAsia="黑体" w:hAnsi="黑体"/>
          <w:b/>
          <w:szCs w:val="21"/>
        </w:rPr>
        <w:t>抽样方法</w:t>
      </w:r>
    </w:p>
    <w:p w:rsidR="00340CC8" w:rsidRDefault="00D54194">
      <w:pPr>
        <w:spacing w:line="440" w:lineRule="exact"/>
        <w:ind w:firstLineChars="150" w:firstLine="315"/>
        <w:rPr>
          <w:rFonts w:hAnsi="宋体"/>
          <w:color w:val="000000"/>
          <w:szCs w:val="21"/>
        </w:rPr>
      </w:pPr>
      <w:r>
        <w:rPr>
          <w:rFonts w:hAnsi="宋体" w:hint="eastAsia"/>
          <w:color w:val="000000"/>
          <w:szCs w:val="21"/>
        </w:rPr>
        <w:t>抽样范围为新疆生产建设兵团辖区内生产企业，本次抽样对象为建筑安全玻璃中钢化玻璃，产品标准为</w:t>
      </w:r>
      <w:r>
        <w:rPr>
          <w:rFonts w:hAnsi="宋体" w:hint="eastAsia"/>
          <w:color w:val="000000"/>
          <w:szCs w:val="21"/>
        </w:rPr>
        <w:t xml:space="preserve"> </w:t>
      </w:r>
      <w:r>
        <w:rPr>
          <w:rFonts w:hint="eastAsia"/>
        </w:rPr>
        <w:t>《</w:t>
      </w:r>
      <w:r>
        <w:rPr>
          <w:rFonts w:hint="eastAsia"/>
        </w:rPr>
        <w:t xml:space="preserve">GB 15763.2-2005 </w:t>
      </w:r>
      <w:r>
        <w:rPr>
          <w:rFonts w:hint="eastAsia"/>
        </w:rPr>
        <w:t>建筑用安全玻璃</w:t>
      </w:r>
      <w:r>
        <w:rPr>
          <w:rFonts w:hint="eastAsia"/>
        </w:rPr>
        <w:t xml:space="preserve"> </w:t>
      </w:r>
      <w:r>
        <w:rPr>
          <w:rFonts w:hint="eastAsia"/>
        </w:rPr>
        <w:t>第</w:t>
      </w:r>
      <w:r>
        <w:rPr>
          <w:rFonts w:hint="eastAsia"/>
        </w:rPr>
        <w:t>2</w:t>
      </w:r>
      <w:r>
        <w:rPr>
          <w:rFonts w:hint="eastAsia"/>
        </w:rPr>
        <w:t>部分</w:t>
      </w:r>
      <w:r>
        <w:rPr>
          <w:rFonts w:hint="eastAsia"/>
        </w:rPr>
        <w:t>:</w:t>
      </w:r>
      <w:r>
        <w:rPr>
          <w:rFonts w:hint="eastAsia"/>
        </w:rPr>
        <w:t>钢化玻璃》</w:t>
      </w:r>
      <w:r>
        <w:rPr>
          <w:rFonts w:hAnsi="宋体" w:hint="eastAsia"/>
          <w:color w:val="000000"/>
          <w:szCs w:val="21"/>
        </w:rPr>
        <w:t>。</w:t>
      </w:r>
    </w:p>
    <w:p w:rsidR="00340CC8" w:rsidRDefault="00D54194">
      <w:pPr>
        <w:spacing w:line="440" w:lineRule="exact"/>
        <w:ind w:firstLineChars="200" w:firstLine="420"/>
        <w:rPr>
          <w:color w:val="000000"/>
          <w:szCs w:val="21"/>
        </w:rPr>
      </w:pPr>
      <w:r>
        <w:rPr>
          <w:rFonts w:hAnsi="宋体"/>
          <w:color w:val="000000"/>
          <w:szCs w:val="21"/>
        </w:rPr>
        <w:t>在企业的成品库里随机抽取有产品质量检验合格证明或者以其他形式表明合格的</w:t>
      </w:r>
      <w:r>
        <w:rPr>
          <w:rFonts w:hAnsi="宋体" w:hint="eastAsia"/>
          <w:color w:val="000000"/>
          <w:szCs w:val="21"/>
        </w:rPr>
        <w:t>，</w:t>
      </w:r>
      <w:r>
        <w:rPr>
          <w:rFonts w:hAnsi="宋体"/>
          <w:color w:val="000000"/>
          <w:szCs w:val="21"/>
        </w:rPr>
        <w:t>十二个月以内（由抽样机构到企业抽样日期倒推）生产的产品。</w:t>
      </w:r>
    </w:p>
    <w:p w:rsidR="00340CC8" w:rsidRDefault="00D54194">
      <w:pPr>
        <w:spacing w:line="440" w:lineRule="exact"/>
        <w:ind w:firstLineChars="200" w:firstLine="420"/>
        <w:rPr>
          <w:bCs/>
          <w:szCs w:val="21"/>
        </w:rPr>
      </w:pPr>
      <w:r>
        <w:rPr>
          <w:rFonts w:hAnsi="宋体"/>
          <w:szCs w:val="21"/>
        </w:rPr>
        <w:t>抽取样品应为</w:t>
      </w:r>
      <w:r>
        <w:rPr>
          <w:kern w:val="0"/>
          <w:szCs w:val="21"/>
          <w:lang w:val="zh-CN"/>
        </w:rPr>
        <w:t>同一生产企业生产的同一原材料、同一厚度、</w:t>
      </w:r>
      <w:r>
        <w:rPr>
          <w:rFonts w:hAnsi="宋体"/>
          <w:szCs w:val="21"/>
        </w:rPr>
        <w:t>同一批次、玻璃公称厚度</w:t>
      </w:r>
      <w:r>
        <w:rPr>
          <w:rFonts w:hAnsi="宋体"/>
          <w:szCs w:val="21"/>
        </w:rPr>
        <w:t>≥</w:t>
      </w:r>
      <w:r>
        <w:rPr>
          <w:rFonts w:hAnsi="宋体" w:hint="eastAsia"/>
          <w:szCs w:val="21"/>
        </w:rPr>
        <w:t>3mm</w:t>
      </w:r>
      <w:r>
        <w:rPr>
          <w:rFonts w:hAnsi="宋体" w:hint="eastAsia"/>
          <w:szCs w:val="21"/>
        </w:rPr>
        <w:t>且≤</w:t>
      </w:r>
      <w:r>
        <w:rPr>
          <w:rFonts w:hAnsi="宋体" w:hint="eastAsia"/>
          <w:szCs w:val="21"/>
        </w:rPr>
        <w:t>10mm</w:t>
      </w:r>
      <w:r>
        <w:rPr>
          <w:rFonts w:hAnsi="宋体" w:hint="eastAsia"/>
          <w:szCs w:val="21"/>
        </w:rPr>
        <w:t>的任意一种厚度</w:t>
      </w:r>
      <w:r>
        <w:rPr>
          <w:rFonts w:hAnsi="宋体"/>
          <w:szCs w:val="21"/>
        </w:rPr>
        <w:t>的产品。</w:t>
      </w:r>
    </w:p>
    <w:p w:rsidR="00340CC8" w:rsidRDefault="00D54194">
      <w:pPr>
        <w:spacing w:line="440" w:lineRule="exact"/>
        <w:ind w:firstLineChars="200" w:firstLine="420"/>
        <w:rPr>
          <w:rFonts w:hAnsi="宋体"/>
          <w:bCs/>
          <w:color w:val="000000"/>
          <w:szCs w:val="21"/>
        </w:rPr>
      </w:pPr>
      <w:r>
        <w:rPr>
          <w:rFonts w:hAnsi="宋体"/>
          <w:bCs/>
          <w:color w:val="000000"/>
          <w:szCs w:val="21"/>
        </w:rPr>
        <w:t>抽样基数大于</w:t>
      </w:r>
      <w:r>
        <w:rPr>
          <w:rFonts w:hAnsi="宋体" w:hint="eastAsia"/>
          <w:bCs/>
          <w:color w:val="000000"/>
          <w:szCs w:val="21"/>
        </w:rPr>
        <w:t>26</w:t>
      </w:r>
      <w:r>
        <w:rPr>
          <w:rFonts w:hAnsi="宋体" w:hint="eastAsia"/>
          <w:bCs/>
          <w:color w:val="000000"/>
          <w:szCs w:val="21"/>
        </w:rPr>
        <w:t>块，采用简单随机抽样法抽取样品</w:t>
      </w:r>
      <w:r>
        <w:rPr>
          <w:rFonts w:hAnsi="宋体" w:hint="eastAsia"/>
          <w:bCs/>
          <w:color w:val="000000"/>
          <w:szCs w:val="21"/>
        </w:rPr>
        <w:t>8</w:t>
      </w:r>
      <w:r>
        <w:rPr>
          <w:rFonts w:hAnsi="宋体" w:hint="eastAsia"/>
          <w:bCs/>
          <w:color w:val="000000"/>
          <w:szCs w:val="21"/>
        </w:rPr>
        <w:t>块，具体抽查样品规格数量见表</w:t>
      </w:r>
      <w:r>
        <w:rPr>
          <w:rFonts w:hAnsi="宋体" w:hint="eastAsia"/>
          <w:bCs/>
          <w:color w:val="000000"/>
          <w:szCs w:val="21"/>
        </w:rPr>
        <w:t>1</w:t>
      </w:r>
      <w:r>
        <w:rPr>
          <w:rFonts w:hAnsi="宋体" w:hint="eastAsia"/>
          <w:bCs/>
          <w:color w:val="000000"/>
          <w:szCs w:val="21"/>
        </w:rPr>
        <w:t>。因钢化玻璃不可切裁</w:t>
      </w:r>
      <w:r>
        <w:rPr>
          <w:rFonts w:hAnsi="宋体" w:hint="eastAsia"/>
          <w:bCs/>
          <w:color w:val="000000"/>
          <w:szCs w:val="21"/>
        </w:rPr>
        <w:t>，标准中要求的特定规格的试样由企业采用与抽查产品相同材料、相同工艺条件现场制作的方式提供。制作的试样数量可大于等于抽样数，企业对试样进行自检并提供质量检验合格证明，抽样人员在其自检合格的试样中随机抽取样品。</w:t>
      </w:r>
    </w:p>
    <w:p w:rsidR="00340CC8" w:rsidRDefault="00D54194">
      <w:pPr>
        <w:spacing w:line="440" w:lineRule="exact"/>
        <w:ind w:firstLineChars="200" w:firstLine="420"/>
        <w:rPr>
          <w:rFonts w:hAnsi="宋体"/>
          <w:szCs w:val="21"/>
        </w:rPr>
      </w:pPr>
      <w:r>
        <w:rPr>
          <w:rFonts w:hAnsi="宋体"/>
          <w:szCs w:val="21"/>
        </w:rPr>
        <w:t>随机数一般可使用随机数、</w:t>
      </w:r>
      <w:r>
        <w:rPr>
          <w:rFonts w:hint="eastAsia"/>
        </w:rPr>
        <w:t>骰子</w:t>
      </w:r>
      <w:r>
        <w:rPr>
          <w:rFonts w:hAnsi="宋体"/>
          <w:szCs w:val="21"/>
        </w:rPr>
        <w:t>或扑克牌法产生。</w:t>
      </w:r>
    </w:p>
    <w:bookmarkEnd w:id="0"/>
    <w:p w:rsidR="00340CC8" w:rsidRDefault="00D54194">
      <w:pPr>
        <w:spacing w:line="360" w:lineRule="auto"/>
        <w:jc w:val="center"/>
        <w:rPr>
          <w:rFonts w:ascii="黑体" w:eastAsia="黑体" w:hAnsi="黑体"/>
          <w:sz w:val="18"/>
          <w:szCs w:val="18"/>
        </w:rPr>
      </w:pPr>
      <w:r>
        <w:rPr>
          <w:rFonts w:ascii="黑体" w:eastAsia="黑体" w:hAnsi="黑体"/>
          <w:sz w:val="18"/>
          <w:szCs w:val="18"/>
        </w:rPr>
        <w:t>表</w:t>
      </w:r>
      <w:r>
        <w:rPr>
          <w:rFonts w:ascii="黑体" w:eastAsia="黑体" w:hAnsi="黑体" w:hint="eastAsia"/>
          <w:sz w:val="18"/>
          <w:szCs w:val="18"/>
        </w:rPr>
        <w:t xml:space="preserve">1 </w:t>
      </w:r>
      <w:r>
        <w:rPr>
          <w:rFonts w:ascii="黑体" w:eastAsia="黑体" w:hAnsi="黑体" w:hint="eastAsia"/>
          <w:sz w:val="18"/>
          <w:szCs w:val="18"/>
        </w:rPr>
        <w:t>建筑用钢化玻璃产品抽查样品规格数量</w:t>
      </w:r>
    </w:p>
    <w:tbl>
      <w:tblPr>
        <w:tblStyle w:val="ac"/>
        <w:tblW w:w="9173" w:type="dxa"/>
        <w:tblLayout w:type="fixed"/>
        <w:tblLook w:val="04A0"/>
      </w:tblPr>
      <w:tblGrid>
        <w:gridCol w:w="675"/>
        <w:gridCol w:w="1560"/>
        <w:gridCol w:w="2693"/>
        <w:gridCol w:w="1559"/>
        <w:gridCol w:w="992"/>
        <w:gridCol w:w="993"/>
        <w:gridCol w:w="701"/>
      </w:tblGrid>
      <w:tr w:rsidR="00340CC8">
        <w:tc>
          <w:tcPr>
            <w:tcW w:w="675" w:type="dxa"/>
            <w:vMerge w:val="restart"/>
            <w:vAlign w:val="center"/>
          </w:tcPr>
          <w:p w:rsidR="00340CC8" w:rsidRDefault="00D54194">
            <w:pPr>
              <w:jc w:val="center"/>
              <w:rPr>
                <w:rFonts w:asciiTheme="minorEastAsia" w:eastAsiaTheme="minorEastAsia" w:hAnsiTheme="minorEastAsia"/>
                <w:sz w:val="18"/>
                <w:szCs w:val="18"/>
              </w:rPr>
            </w:pPr>
            <w:r>
              <w:rPr>
                <w:rFonts w:asciiTheme="minorEastAsia" w:eastAsiaTheme="minorEastAsia" w:hAnsiTheme="minorEastAsia"/>
                <w:sz w:val="18"/>
                <w:szCs w:val="18"/>
              </w:rPr>
              <w:t>序号</w:t>
            </w:r>
          </w:p>
        </w:tc>
        <w:tc>
          <w:tcPr>
            <w:tcW w:w="1560" w:type="dxa"/>
            <w:vMerge w:val="restart"/>
            <w:vAlign w:val="center"/>
          </w:tcPr>
          <w:p w:rsidR="00340CC8" w:rsidRDefault="00D54194">
            <w:pPr>
              <w:jc w:val="center"/>
              <w:rPr>
                <w:rFonts w:asciiTheme="minorEastAsia" w:eastAsiaTheme="minorEastAsia" w:hAnsiTheme="minorEastAsia"/>
                <w:sz w:val="18"/>
                <w:szCs w:val="18"/>
              </w:rPr>
            </w:pPr>
            <w:r>
              <w:rPr>
                <w:rFonts w:asciiTheme="minorEastAsia" w:eastAsiaTheme="minorEastAsia" w:hAnsiTheme="minorEastAsia"/>
                <w:sz w:val="18"/>
                <w:szCs w:val="18"/>
              </w:rPr>
              <w:t>检验项目</w:t>
            </w:r>
          </w:p>
        </w:tc>
        <w:tc>
          <w:tcPr>
            <w:tcW w:w="2693" w:type="dxa"/>
            <w:vMerge w:val="restart"/>
            <w:vAlign w:val="center"/>
          </w:tcPr>
          <w:p w:rsidR="00340CC8" w:rsidRDefault="00D54194">
            <w:pPr>
              <w:jc w:val="center"/>
              <w:rPr>
                <w:rFonts w:asciiTheme="minorEastAsia" w:eastAsiaTheme="minorEastAsia" w:hAnsiTheme="minorEastAsia"/>
                <w:sz w:val="18"/>
                <w:szCs w:val="18"/>
              </w:rPr>
            </w:pPr>
            <w:r>
              <w:rPr>
                <w:rFonts w:asciiTheme="minorEastAsia" w:eastAsiaTheme="minorEastAsia" w:hAnsiTheme="minorEastAsia"/>
                <w:sz w:val="18"/>
                <w:szCs w:val="18"/>
              </w:rPr>
              <w:t>样品规格</w:t>
            </w:r>
          </w:p>
        </w:tc>
        <w:tc>
          <w:tcPr>
            <w:tcW w:w="1559" w:type="dxa"/>
            <w:vMerge w:val="restart"/>
            <w:vAlign w:val="center"/>
          </w:tcPr>
          <w:p w:rsidR="00340CC8" w:rsidRDefault="00D54194">
            <w:pPr>
              <w:jc w:val="center"/>
              <w:rPr>
                <w:rFonts w:asciiTheme="minorEastAsia" w:eastAsiaTheme="minorEastAsia" w:hAnsiTheme="minorEastAsia"/>
                <w:sz w:val="18"/>
                <w:szCs w:val="18"/>
              </w:rPr>
            </w:pPr>
            <w:r>
              <w:rPr>
                <w:rFonts w:asciiTheme="minorEastAsia" w:eastAsiaTheme="minorEastAsia" w:hAnsiTheme="minorEastAsia"/>
                <w:sz w:val="18"/>
                <w:szCs w:val="18"/>
              </w:rPr>
              <w:t>抽样方法</w:t>
            </w:r>
          </w:p>
        </w:tc>
        <w:tc>
          <w:tcPr>
            <w:tcW w:w="2686" w:type="dxa"/>
            <w:gridSpan w:val="3"/>
            <w:vAlign w:val="center"/>
          </w:tcPr>
          <w:p w:rsidR="00340CC8" w:rsidRDefault="00D54194">
            <w:pPr>
              <w:jc w:val="center"/>
              <w:rPr>
                <w:rFonts w:asciiTheme="minorEastAsia" w:eastAsiaTheme="minorEastAsia" w:hAnsiTheme="minorEastAsia"/>
                <w:sz w:val="18"/>
                <w:szCs w:val="18"/>
              </w:rPr>
            </w:pPr>
            <w:r>
              <w:rPr>
                <w:rFonts w:asciiTheme="minorEastAsia" w:eastAsiaTheme="minorEastAsia" w:hAnsiTheme="minorEastAsia"/>
                <w:sz w:val="18"/>
                <w:szCs w:val="18"/>
              </w:rPr>
              <w:t>样品数量</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块</w:t>
            </w:r>
          </w:p>
        </w:tc>
      </w:tr>
      <w:tr w:rsidR="00340CC8">
        <w:tc>
          <w:tcPr>
            <w:tcW w:w="675" w:type="dxa"/>
            <w:vMerge/>
            <w:vAlign w:val="center"/>
          </w:tcPr>
          <w:p w:rsidR="00340CC8" w:rsidRDefault="00340CC8">
            <w:pPr>
              <w:jc w:val="center"/>
              <w:rPr>
                <w:rFonts w:asciiTheme="minorEastAsia" w:eastAsiaTheme="minorEastAsia" w:hAnsiTheme="minorEastAsia"/>
                <w:sz w:val="18"/>
                <w:szCs w:val="18"/>
              </w:rPr>
            </w:pPr>
          </w:p>
        </w:tc>
        <w:tc>
          <w:tcPr>
            <w:tcW w:w="1560" w:type="dxa"/>
            <w:vMerge/>
            <w:vAlign w:val="center"/>
          </w:tcPr>
          <w:p w:rsidR="00340CC8" w:rsidRDefault="00340CC8">
            <w:pPr>
              <w:jc w:val="center"/>
              <w:rPr>
                <w:rFonts w:asciiTheme="minorEastAsia" w:eastAsiaTheme="minorEastAsia" w:hAnsiTheme="minorEastAsia"/>
                <w:sz w:val="18"/>
                <w:szCs w:val="18"/>
              </w:rPr>
            </w:pPr>
          </w:p>
        </w:tc>
        <w:tc>
          <w:tcPr>
            <w:tcW w:w="2693" w:type="dxa"/>
            <w:vMerge/>
            <w:vAlign w:val="center"/>
          </w:tcPr>
          <w:p w:rsidR="00340CC8" w:rsidRDefault="00340CC8">
            <w:pPr>
              <w:jc w:val="center"/>
              <w:rPr>
                <w:rFonts w:asciiTheme="minorEastAsia" w:eastAsiaTheme="minorEastAsia" w:hAnsiTheme="minorEastAsia"/>
                <w:sz w:val="18"/>
                <w:szCs w:val="18"/>
              </w:rPr>
            </w:pPr>
          </w:p>
        </w:tc>
        <w:tc>
          <w:tcPr>
            <w:tcW w:w="1559" w:type="dxa"/>
            <w:vMerge/>
            <w:vAlign w:val="center"/>
          </w:tcPr>
          <w:p w:rsidR="00340CC8" w:rsidRDefault="00340CC8">
            <w:pPr>
              <w:jc w:val="center"/>
              <w:rPr>
                <w:rFonts w:asciiTheme="minorEastAsia" w:eastAsiaTheme="minorEastAsia" w:hAnsiTheme="minorEastAsia"/>
                <w:sz w:val="18"/>
                <w:szCs w:val="18"/>
              </w:rPr>
            </w:pPr>
          </w:p>
        </w:tc>
        <w:tc>
          <w:tcPr>
            <w:tcW w:w="992" w:type="dxa"/>
            <w:vAlign w:val="center"/>
          </w:tcPr>
          <w:p w:rsidR="00340CC8" w:rsidRDefault="00D54194">
            <w:pPr>
              <w:jc w:val="center"/>
              <w:rPr>
                <w:rFonts w:asciiTheme="minorEastAsia" w:eastAsiaTheme="minorEastAsia" w:hAnsiTheme="minorEastAsia"/>
                <w:sz w:val="18"/>
                <w:szCs w:val="18"/>
              </w:rPr>
            </w:pPr>
            <w:r>
              <w:rPr>
                <w:rFonts w:asciiTheme="minorEastAsia" w:eastAsiaTheme="minorEastAsia" w:hAnsiTheme="minorEastAsia"/>
                <w:sz w:val="18"/>
                <w:szCs w:val="18"/>
              </w:rPr>
              <w:t>检验样</w:t>
            </w:r>
          </w:p>
        </w:tc>
        <w:tc>
          <w:tcPr>
            <w:tcW w:w="993" w:type="dxa"/>
            <w:vAlign w:val="center"/>
          </w:tcPr>
          <w:p w:rsidR="00340CC8" w:rsidRDefault="00D54194">
            <w:pPr>
              <w:jc w:val="center"/>
              <w:rPr>
                <w:rFonts w:asciiTheme="minorEastAsia" w:eastAsiaTheme="minorEastAsia" w:hAnsiTheme="minorEastAsia"/>
                <w:sz w:val="18"/>
                <w:szCs w:val="18"/>
              </w:rPr>
            </w:pPr>
            <w:r>
              <w:rPr>
                <w:rFonts w:asciiTheme="minorEastAsia" w:eastAsiaTheme="minorEastAsia" w:hAnsiTheme="minorEastAsia"/>
                <w:sz w:val="18"/>
                <w:szCs w:val="18"/>
              </w:rPr>
              <w:t>备用样</w:t>
            </w:r>
          </w:p>
        </w:tc>
        <w:tc>
          <w:tcPr>
            <w:tcW w:w="701" w:type="dxa"/>
            <w:vAlign w:val="center"/>
          </w:tcPr>
          <w:p w:rsidR="00340CC8" w:rsidRDefault="00D54194">
            <w:pPr>
              <w:jc w:val="center"/>
              <w:rPr>
                <w:rFonts w:asciiTheme="minorEastAsia" w:eastAsiaTheme="minorEastAsia" w:hAnsiTheme="minorEastAsia"/>
                <w:sz w:val="18"/>
                <w:szCs w:val="18"/>
              </w:rPr>
            </w:pPr>
            <w:r>
              <w:rPr>
                <w:rFonts w:asciiTheme="minorEastAsia" w:eastAsiaTheme="minorEastAsia" w:hAnsiTheme="minorEastAsia"/>
                <w:sz w:val="18"/>
                <w:szCs w:val="18"/>
              </w:rPr>
              <w:t>小计</w:t>
            </w:r>
          </w:p>
        </w:tc>
      </w:tr>
      <w:tr w:rsidR="00340CC8">
        <w:tc>
          <w:tcPr>
            <w:tcW w:w="675" w:type="dxa"/>
            <w:vAlign w:val="center"/>
          </w:tcPr>
          <w:p w:rsidR="00340CC8" w:rsidRDefault="00D5419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560" w:type="dxa"/>
            <w:vAlign w:val="center"/>
          </w:tcPr>
          <w:p w:rsidR="00340CC8" w:rsidRDefault="00D54194">
            <w:pPr>
              <w:jc w:val="center"/>
              <w:rPr>
                <w:rFonts w:asciiTheme="minorEastAsia" w:eastAsiaTheme="minorEastAsia" w:hAnsiTheme="minorEastAsia"/>
                <w:sz w:val="18"/>
                <w:szCs w:val="18"/>
              </w:rPr>
            </w:pPr>
            <w:r>
              <w:rPr>
                <w:rFonts w:asciiTheme="minorEastAsia" w:eastAsiaTheme="minorEastAsia" w:hAnsiTheme="minorEastAsia"/>
                <w:sz w:val="18"/>
                <w:szCs w:val="18"/>
              </w:rPr>
              <w:t>碎片状态</w:t>
            </w:r>
          </w:p>
        </w:tc>
        <w:tc>
          <w:tcPr>
            <w:tcW w:w="2693" w:type="dxa"/>
            <w:vAlign w:val="center"/>
          </w:tcPr>
          <w:p w:rsidR="00340CC8" w:rsidRDefault="00D54194">
            <w:pPr>
              <w:jc w:val="center"/>
              <w:rPr>
                <w:rFonts w:asciiTheme="minorEastAsia" w:eastAsiaTheme="minorEastAsia" w:hAnsiTheme="minorEastAsia"/>
                <w:sz w:val="18"/>
                <w:szCs w:val="18"/>
              </w:rPr>
            </w:pPr>
            <w:r>
              <w:rPr>
                <w:rFonts w:asciiTheme="minorEastAsia" w:eastAsiaTheme="minorEastAsia" w:hAnsiTheme="minorEastAsia"/>
                <w:sz w:val="18"/>
                <w:szCs w:val="18"/>
              </w:rPr>
              <w:t>每块玻璃面积不应小于</w:t>
            </w:r>
            <w:r>
              <w:rPr>
                <w:rFonts w:asciiTheme="minorEastAsia" w:eastAsiaTheme="minorEastAsia" w:hAnsiTheme="minorEastAsia" w:hint="eastAsia"/>
                <w:sz w:val="18"/>
                <w:szCs w:val="18"/>
              </w:rPr>
              <w:t>0.5m</w:t>
            </w:r>
            <w:r>
              <w:rPr>
                <w:rFonts w:asciiTheme="minorEastAsia" w:eastAsiaTheme="minorEastAsia" w:hAnsiTheme="minorEastAsia" w:hint="eastAsia"/>
                <w:sz w:val="18"/>
                <w:szCs w:val="18"/>
                <w:vertAlign w:val="superscript"/>
              </w:rPr>
              <w:t>2</w:t>
            </w:r>
          </w:p>
        </w:tc>
        <w:tc>
          <w:tcPr>
            <w:tcW w:w="1559" w:type="dxa"/>
            <w:vAlign w:val="center"/>
          </w:tcPr>
          <w:p w:rsidR="00340CC8" w:rsidRDefault="00D54194">
            <w:pPr>
              <w:jc w:val="center"/>
              <w:rPr>
                <w:rFonts w:asciiTheme="minorEastAsia" w:eastAsiaTheme="minorEastAsia" w:hAnsiTheme="minorEastAsia"/>
                <w:sz w:val="18"/>
                <w:szCs w:val="18"/>
              </w:rPr>
            </w:pPr>
            <w:r>
              <w:rPr>
                <w:rFonts w:asciiTheme="minorEastAsia" w:eastAsiaTheme="minorEastAsia" w:hAnsiTheme="minorEastAsia"/>
                <w:sz w:val="18"/>
                <w:szCs w:val="18"/>
              </w:rPr>
              <w:t>随机抽取产品</w:t>
            </w:r>
          </w:p>
        </w:tc>
        <w:tc>
          <w:tcPr>
            <w:tcW w:w="992" w:type="dxa"/>
            <w:vAlign w:val="center"/>
          </w:tcPr>
          <w:p w:rsidR="00340CC8" w:rsidRDefault="00D5419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993" w:type="dxa"/>
            <w:vAlign w:val="center"/>
          </w:tcPr>
          <w:p w:rsidR="00340CC8" w:rsidRDefault="00D5419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701" w:type="dxa"/>
            <w:vAlign w:val="center"/>
          </w:tcPr>
          <w:p w:rsidR="00340CC8" w:rsidRDefault="00D5419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340CC8">
        <w:tc>
          <w:tcPr>
            <w:tcW w:w="675" w:type="dxa"/>
            <w:vAlign w:val="center"/>
          </w:tcPr>
          <w:p w:rsidR="00340CC8" w:rsidRDefault="00D5419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560" w:type="dxa"/>
            <w:vAlign w:val="center"/>
          </w:tcPr>
          <w:p w:rsidR="00340CC8" w:rsidRDefault="00D54194">
            <w:pPr>
              <w:jc w:val="center"/>
              <w:rPr>
                <w:rFonts w:asciiTheme="minorEastAsia" w:eastAsiaTheme="minorEastAsia" w:hAnsiTheme="minorEastAsia"/>
                <w:sz w:val="18"/>
                <w:szCs w:val="18"/>
              </w:rPr>
            </w:pPr>
            <w:r>
              <w:rPr>
                <w:rFonts w:asciiTheme="minorEastAsia" w:eastAsiaTheme="minorEastAsia" w:hAnsiTheme="minorEastAsia"/>
                <w:sz w:val="18"/>
                <w:szCs w:val="18"/>
              </w:rPr>
              <w:t>抗冲击性</w:t>
            </w:r>
          </w:p>
        </w:tc>
        <w:tc>
          <w:tcPr>
            <w:tcW w:w="2693" w:type="dxa"/>
            <w:vMerge w:val="restart"/>
            <w:vAlign w:val="center"/>
          </w:tcPr>
          <w:p w:rsidR="00340CC8" w:rsidRDefault="00D5419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610mm</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610mm</w:t>
            </w:r>
          </w:p>
        </w:tc>
        <w:tc>
          <w:tcPr>
            <w:tcW w:w="1559" w:type="dxa"/>
            <w:vMerge w:val="restart"/>
            <w:vAlign w:val="center"/>
          </w:tcPr>
          <w:p w:rsidR="00340CC8" w:rsidRDefault="00D5419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现场制作</w:t>
            </w:r>
          </w:p>
        </w:tc>
        <w:tc>
          <w:tcPr>
            <w:tcW w:w="992" w:type="dxa"/>
            <w:vMerge w:val="restart"/>
            <w:vAlign w:val="center"/>
          </w:tcPr>
          <w:p w:rsidR="00340CC8" w:rsidRDefault="00D5419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993" w:type="dxa"/>
            <w:vMerge w:val="restart"/>
            <w:vAlign w:val="center"/>
          </w:tcPr>
          <w:p w:rsidR="00340CC8" w:rsidRDefault="00D5419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701" w:type="dxa"/>
            <w:vMerge w:val="restart"/>
            <w:vAlign w:val="center"/>
          </w:tcPr>
          <w:p w:rsidR="00340CC8" w:rsidRDefault="00D5419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24</w:t>
            </w:r>
          </w:p>
        </w:tc>
      </w:tr>
      <w:tr w:rsidR="00340CC8">
        <w:tc>
          <w:tcPr>
            <w:tcW w:w="675" w:type="dxa"/>
            <w:vAlign w:val="center"/>
          </w:tcPr>
          <w:p w:rsidR="00340CC8" w:rsidRDefault="00D5419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560" w:type="dxa"/>
            <w:vAlign w:val="center"/>
          </w:tcPr>
          <w:p w:rsidR="00340CC8" w:rsidRDefault="00D54194">
            <w:pPr>
              <w:jc w:val="center"/>
              <w:rPr>
                <w:rFonts w:asciiTheme="minorEastAsia" w:eastAsiaTheme="minorEastAsia" w:hAnsiTheme="minorEastAsia"/>
                <w:sz w:val="18"/>
                <w:szCs w:val="18"/>
              </w:rPr>
            </w:pPr>
            <w:r>
              <w:rPr>
                <w:rFonts w:asciiTheme="minorEastAsia" w:eastAsiaTheme="minorEastAsia" w:hAnsiTheme="minorEastAsia"/>
                <w:sz w:val="18"/>
                <w:szCs w:val="18"/>
              </w:rPr>
              <w:t>表面应力</w:t>
            </w:r>
          </w:p>
        </w:tc>
        <w:tc>
          <w:tcPr>
            <w:tcW w:w="2693" w:type="dxa"/>
            <w:vMerge/>
            <w:vAlign w:val="center"/>
          </w:tcPr>
          <w:p w:rsidR="00340CC8" w:rsidRDefault="00340CC8">
            <w:pPr>
              <w:jc w:val="center"/>
              <w:rPr>
                <w:rFonts w:asciiTheme="minorEastAsia" w:eastAsiaTheme="minorEastAsia" w:hAnsiTheme="minorEastAsia"/>
                <w:sz w:val="18"/>
                <w:szCs w:val="18"/>
              </w:rPr>
            </w:pPr>
          </w:p>
        </w:tc>
        <w:tc>
          <w:tcPr>
            <w:tcW w:w="1559" w:type="dxa"/>
            <w:vMerge/>
            <w:vAlign w:val="center"/>
          </w:tcPr>
          <w:p w:rsidR="00340CC8" w:rsidRDefault="00340CC8">
            <w:pPr>
              <w:jc w:val="center"/>
              <w:rPr>
                <w:rFonts w:asciiTheme="minorEastAsia" w:eastAsiaTheme="minorEastAsia" w:hAnsiTheme="minorEastAsia"/>
                <w:sz w:val="18"/>
                <w:szCs w:val="18"/>
              </w:rPr>
            </w:pPr>
          </w:p>
        </w:tc>
        <w:tc>
          <w:tcPr>
            <w:tcW w:w="992" w:type="dxa"/>
            <w:vMerge/>
            <w:vAlign w:val="center"/>
          </w:tcPr>
          <w:p w:rsidR="00340CC8" w:rsidRDefault="00340CC8">
            <w:pPr>
              <w:jc w:val="center"/>
              <w:rPr>
                <w:rFonts w:asciiTheme="minorEastAsia" w:eastAsiaTheme="minorEastAsia" w:hAnsiTheme="minorEastAsia"/>
                <w:sz w:val="18"/>
                <w:szCs w:val="18"/>
              </w:rPr>
            </w:pPr>
          </w:p>
        </w:tc>
        <w:tc>
          <w:tcPr>
            <w:tcW w:w="993" w:type="dxa"/>
            <w:vMerge/>
            <w:vAlign w:val="center"/>
          </w:tcPr>
          <w:p w:rsidR="00340CC8" w:rsidRDefault="00340CC8">
            <w:pPr>
              <w:jc w:val="center"/>
              <w:rPr>
                <w:rFonts w:asciiTheme="minorEastAsia" w:eastAsiaTheme="minorEastAsia" w:hAnsiTheme="minorEastAsia"/>
                <w:sz w:val="18"/>
                <w:szCs w:val="18"/>
              </w:rPr>
            </w:pPr>
          </w:p>
        </w:tc>
        <w:tc>
          <w:tcPr>
            <w:tcW w:w="701" w:type="dxa"/>
            <w:vMerge/>
            <w:vAlign w:val="center"/>
          </w:tcPr>
          <w:p w:rsidR="00340CC8" w:rsidRDefault="00340CC8">
            <w:pPr>
              <w:jc w:val="center"/>
              <w:rPr>
                <w:rFonts w:asciiTheme="minorEastAsia" w:eastAsiaTheme="minorEastAsia" w:hAnsiTheme="minorEastAsia"/>
                <w:sz w:val="18"/>
                <w:szCs w:val="18"/>
              </w:rPr>
            </w:pPr>
          </w:p>
        </w:tc>
      </w:tr>
      <w:tr w:rsidR="00340CC8">
        <w:tc>
          <w:tcPr>
            <w:tcW w:w="675" w:type="dxa"/>
            <w:vAlign w:val="center"/>
          </w:tcPr>
          <w:p w:rsidR="00340CC8" w:rsidRDefault="00D5419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560" w:type="dxa"/>
            <w:vAlign w:val="center"/>
          </w:tcPr>
          <w:p w:rsidR="00340CC8" w:rsidRDefault="00D54194">
            <w:pPr>
              <w:jc w:val="center"/>
              <w:rPr>
                <w:rFonts w:asciiTheme="minorEastAsia" w:eastAsiaTheme="minorEastAsia" w:hAnsiTheme="minorEastAsia"/>
                <w:sz w:val="18"/>
                <w:szCs w:val="18"/>
              </w:rPr>
            </w:pPr>
            <w:r>
              <w:rPr>
                <w:rFonts w:ascii="宋体" w:hAnsi="宋体" w:cs="宋体" w:hint="eastAsia"/>
                <w:sz w:val="18"/>
                <w:szCs w:val="18"/>
              </w:rPr>
              <w:t>霰弹</w:t>
            </w:r>
            <w:r>
              <w:rPr>
                <w:rFonts w:asciiTheme="minorEastAsia" w:eastAsiaTheme="minorEastAsia" w:hAnsiTheme="minorEastAsia"/>
                <w:sz w:val="18"/>
                <w:szCs w:val="18"/>
              </w:rPr>
              <w:t>袋冲击性能</w:t>
            </w:r>
          </w:p>
        </w:tc>
        <w:tc>
          <w:tcPr>
            <w:tcW w:w="2693" w:type="dxa"/>
            <w:vAlign w:val="center"/>
          </w:tcPr>
          <w:p w:rsidR="00340CC8" w:rsidRDefault="00D5419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1930 mm</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864mm</w:t>
            </w:r>
          </w:p>
        </w:tc>
        <w:tc>
          <w:tcPr>
            <w:tcW w:w="1559" w:type="dxa"/>
            <w:vAlign w:val="center"/>
          </w:tcPr>
          <w:p w:rsidR="00340CC8" w:rsidRDefault="00D54194">
            <w:pPr>
              <w:jc w:val="center"/>
              <w:rPr>
                <w:rFonts w:asciiTheme="minorEastAsia" w:eastAsiaTheme="minorEastAsia" w:hAnsiTheme="minorEastAsia"/>
                <w:sz w:val="18"/>
                <w:szCs w:val="18"/>
              </w:rPr>
            </w:pPr>
            <w:r>
              <w:rPr>
                <w:rFonts w:asciiTheme="minorEastAsia" w:eastAsiaTheme="minorEastAsia" w:hAnsiTheme="minorEastAsia"/>
                <w:sz w:val="18"/>
                <w:szCs w:val="18"/>
              </w:rPr>
              <w:t>现场制作</w:t>
            </w:r>
          </w:p>
        </w:tc>
        <w:tc>
          <w:tcPr>
            <w:tcW w:w="992" w:type="dxa"/>
            <w:vAlign w:val="center"/>
          </w:tcPr>
          <w:p w:rsidR="00340CC8" w:rsidRDefault="00D5419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993" w:type="dxa"/>
            <w:vAlign w:val="center"/>
          </w:tcPr>
          <w:p w:rsidR="00340CC8" w:rsidRDefault="00D5419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701" w:type="dxa"/>
            <w:vAlign w:val="center"/>
          </w:tcPr>
          <w:p w:rsidR="00340CC8" w:rsidRDefault="00D5419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bl>
    <w:p w:rsidR="00340CC8" w:rsidRDefault="00D54194">
      <w:pPr>
        <w:adjustRightInd w:val="0"/>
        <w:snapToGrid w:val="0"/>
        <w:spacing w:line="360" w:lineRule="auto"/>
        <w:rPr>
          <w:rFonts w:eastAsia="黑体"/>
          <w:b/>
          <w:szCs w:val="21"/>
        </w:rPr>
      </w:pPr>
      <w:r>
        <w:rPr>
          <w:rFonts w:eastAsia="黑体" w:hint="eastAsia"/>
          <w:b/>
          <w:szCs w:val="21"/>
        </w:rPr>
        <w:tab/>
      </w:r>
    </w:p>
    <w:p w:rsidR="00340CC8" w:rsidRDefault="00D54194">
      <w:pPr>
        <w:adjustRightInd w:val="0"/>
        <w:snapToGrid w:val="0"/>
        <w:spacing w:line="360" w:lineRule="auto"/>
        <w:rPr>
          <w:rFonts w:eastAsia="黑体"/>
          <w:b/>
          <w:szCs w:val="21"/>
        </w:rPr>
      </w:pPr>
      <w:r>
        <w:rPr>
          <w:rFonts w:eastAsia="黑体"/>
          <w:b/>
          <w:szCs w:val="21"/>
        </w:rPr>
        <w:t xml:space="preserve">2 </w:t>
      </w:r>
      <w:r>
        <w:rPr>
          <w:rFonts w:eastAsia="黑体" w:hAnsi="黑体"/>
          <w:b/>
          <w:szCs w:val="21"/>
        </w:rPr>
        <w:t>检验依据</w:t>
      </w:r>
    </w:p>
    <w:p w:rsidR="00340CC8" w:rsidRDefault="00D54194" w:rsidP="0029788A">
      <w:pPr>
        <w:spacing w:beforeLines="50" w:afterLines="50"/>
        <w:jc w:val="center"/>
        <w:rPr>
          <w:rFonts w:ascii="黑体" w:eastAsia="黑体" w:hAnsi="黑体" w:cs="黑体"/>
          <w:sz w:val="18"/>
          <w:szCs w:val="18"/>
        </w:rPr>
      </w:pPr>
      <w:r>
        <w:rPr>
          <w:rFonts w:ascii="黑体" w:eastAsia="黑体" w:hAnsi="黑体" w:cs="黑体" w:hint="eastAsia"/>
          <w:sz w:val="18"/>
          <w:szCs w:val="18"/>
        </w:rPr>
        <w:t>表</w:t>
      </w:r>
      <w:r>
        <w:rPr>
          <w:rFonts w:ascii="黑体" w:eastAsia="黑体" w:hAnsi="黑体" w:cs="黑体" w:hint="eastAsia"/>
          <w:sz w:val="18"/>
          <w:szCs w:val="18"/>
        </w:rPr>
        <w:t>2</w:t>
      </w:r>
      <w:r>
        <w:rPr>
          <w:rFonts w:ascii="黑体" w:eastAsia="黑体" w:hAnsi="黑体" w:cs="黑体"/>
          <w:sz w:val="18"/>
          <w:szCs w:val="18"/>
        </w:rPr>
        <w:t xml:space="preserve"> </w:t>
      </w:r>
      <w:r>
        <w:rPr>
          <w:rFonts w:ascii="黑体" w:eastAsia="黑体" w:hAnsi="黑体" w:cs="黑体"/>
          <w:sz w:val="18"/>
          <w:szCs w:val="18"/>
        </w:rPr>
        <w:t>建筑用钢化玻璃检验项目</w:t>
      </w: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59"/>
        <w:gridCol w:w="2126"/>
        <w:gridCol w:w="2636"/>
        <w:gridCol w:w="1018"/>
        <w:gridCol w:w="1019"/>
      </w:tblGrid>
      <w:tr w:rsidR="00340CC8">
        <w:trPr>
          <w:trHeight w:val="265"/>
          <w:jc w:val="center"/>
        </w:trPr>
        <w:tc>
          <w:tcPr>
            <w:tcW w:w="709" w:type="dxa"/>
            <w:vMerge w:val="restart"/>
            <w:vAlign w:val="center"/>
          </w:tcPr>
          <w:p w:rsidR="00340CC8" w:rsidRDefault="00D54194">
            <w:pPr>
              <w:jc w:val="center"/>
              <w:rPr>
                <w:rFonts w:ascii="宋体" w:hAnsi="宋体" w:cs="宋体"/>
                <w:sz w:val="18"/>
                <w:szCs w:val="18"/>
              </w:rPr>
            </w:pPr>
            <w:r>
              <w:rPr>
                <w:rFonts w:ascii="宋体" w:hAnsi="宋体" w:cs="宋体" w:hint="eastAsia"/>
                <w:sz w:val="18"/>
                <w:szCs w:val="18"/>
              </w:rPr>
              <w:t>序号</w:t>
            </w:r>
          </w:p>
        </w:tc>
        <w:tc>
          <w:tcPr>
            <w:tcW w:w="1759" w:type="dxa"/>
            <w:vMerge w:val="restart"/>
            <w:vAlign w:val="center"/>
          </w:tcPr>
          <w:p w:rsidR="00340CC8" w:rsidRDefault="00D54194">
            <w:pPr>
              <w:jc w:val="center"/>
              <w:rPr>
                <w:rFonts w:ascii="宋体" w:hAnsi="宋体" w:cs="宋体"/>
                <w:sz w:val="18"/>
                <w:szCs w:val="18"/>
              </w:rPr>
            </w:pPr>
            <w:r>
              <w:rPr>
                <w:rFonts w:ascii="宋体" w:hAnsi="宋体" w:cs="宋体" w:hint="eastAsia"/>
                <w:sz w:val="18"/>
                <w:szCs w:val="18"/>
              </w:rPr>
              <w:t>检验项目</w:t>
            </w:r>
          </w:p>
        </w:tc>
        <w:tc>
          <w:tcPr>
            <w:tcW w:w="2126" w:type="dxa"/>
            <w:vMerge w:val="restart"/>
            <w:vAlign w:val="center"/>
          </w:tcPr>
          <w:p w:rsidR="00340CC8" w:rsidRDefault="00D54194">
            <w:pPr>
              <w:jc w:val="center"/>
              <w:rPr>
                <w:rFonts w:ascii="宋体" w:hAnsi="宋体" w:cs="宋体"/>
                <w:sz w:val="18"/>
                <w:szCs w:val="18"/>
              </w:rPr>
            </w:pPr>
            <w:r>
              <w:rPr>
                <w:rFonts w:ascii="宋体" w:hAnsi="宋体" w:cs="宋体" w:hint="eastAsia"/>
                <w:sz w:val="18"/>
                <w:szCs w:val="18"/>
              </w:rPr>
              <w:t>判定依据</w:t>
            </w:r>
          </w:p>
        </w:tc>
        <w:tc>
          <w:tcPr>
            <w:tcW w:w="2636" w:type="dxa"/>
            <w:vMerge w:val="restart"/>
            <w:vAlign w:val="center"/>
          </w:tcPr>
          <w:p w:rsidR="00340CC8" w:rsidRDefault="00D54194">
            <w:pPr>
              <w:jc w:val="center"/>
              <w:rPr>
                <w:rFonts w:ascii="宋体" w:hAnsi="宋体" w:cs="宋体"/>
                <w:sz w:val="18"/>
                <w:szCs w:val="18"/>
              </w:rPr>
            </w:pPr>
            <w:r>
              <w:rPr>
                <w:rFonts w:ascii="宋体" w:hAnsi="宋体" w:cs="宋体" w:hint="eastAsia"/>
                <w:sz w:val="18"/>
                <w:szCs w:val="18"/>
              </w:rPr>
              <w:t>检验方法</w:t>
            </w:r>
          </w:p>
        </w:tc>
        <w:tc>
          <w:tcPr>
            <w:tcW w:w="2037" w:type="dxa"/>
            <w:gridSpan w:val="2"/>
          </w:tcPr>
          <w:p w:rsidR="00340CC8" w:rsidRDefault="00D54194">
            <w:pPr>
              <w:jc w:val="center"/>
              <w:rPr>
                <w:rFonts w:eastAsia="黑体" w:hAnsi="黑体"/>
                <w:sz w:val="18"/>
                <w:szCs w:val="18"/>
              </w:rPr>
            </w:pPr>
            <w:r>
              <w:rPr>
                <w:rFonts w:eastAsia="黑体" w:hAnsi="黑体" w:hint="eastAsia"/>
                <w:sz w:val="18"/>
                <w:szCs w:val="18"/>
              </w:rPr>
              <w:t>重要程度分类</w:t>
            </w:r>
          </w:p>
        </w:tc>
      </w:tr>
      <w:tr w:rsidR="00340CC8">
        <w:trPr>
          <w:trHeight w:val="265"/>
          <w:jc w:val="center"/>
        </w:trPr>
        <w:tc>
          <w:tcPr>
            <w:tcW w:w="709" w:type="dxa"/>
            <w:vMerge/>
            <w:vAlign w:val="center"/>
          </w:tcPr>
          <w:p w:rsidR="00340CC8" w:rsidRDefault="00340CC8">
            <w:pPr>
              <w:jc w:val="center"/>
              <w:rPr>
                <w:rFonts w:ascii="宋体" w:hAnsi="宋体" w:cs="宋体"/>
                <w:sz w:val="18"/>
                <w:szCs w:val="18"/>
              </w:rPr>
            </w:pPr>
          </w:p>
        </w:tc>
        <w:tc>
          <w:tcPr>
            <w:tcW w:w="1759" w:type="dxa"/>
            <w:vMerge/>
            <w:vAlign w:val="center"/>
          </w:tcPr>
          <w:p w:rsidR="00340CC8" w:rsidRDefault="00340CC8">
            <w:pPr>
              <w:jc w:val="center"/>
              <w:rPr>
                <w:rFonts w:ascii="宋体" w:hAnsi="宋体" w:cs="宋体"/>
                <w:sz w:val="18"/>
                <w:szCs w:val="18"/>
              </w:rPr>
            </w:pPr>
          </w:p>
        </w:tc>
        <w:tc>
          <w:tcPr>
            <w:tcW w:w="2126" w:type="dxa"/>
            <w:vMerge/>
            <w:vAlign w:val="center"/>
          </w:tcPr>
          <w:p w:rsidR="00340CC8" w:rsidRDefault="00340CC8">
            <w:pPr>
              <w:jc w:val="center"/>
              <w:rPr>
                <w:rFonts w:ascii="宋体" w:hAnsi="宋体" w:cs="宋体"/>
                <w:sz w:val="18"/>
                <w:szCs w:val="18"/>
              </w:rPr>
            </w:pPr>
          </w:p>
        </w:tc>
        <w:tc>
          <w:tcPr>
            <w:tcW w:w="2636" w:type="dxa"/>
            <w:vMerge/>
            <w:vAlign w:val="center"/>
          </w:tcPr>
          <w:p w:rsidR="00340CC8" w:rsidRDefault="00340CC8">
            <w:pPr>
              <w:jc w:val="center"/>
              <w:rPr>
                <w:rFonts w:ascii="宋体" w:hAnsi="宋体" w:cs="宋体"/>
                <w:sz w:val="18"/>
                <w:szCs w:val="18"/>
              </w:rPr>
            </w:pPr>
          </w:p>
        </w:tc>
        <w:tc>
          <w:tcPr>
            <w:tcW w:w="1018" w:type="dxa"/>
          </w:tcPr>
          <w:p w:rsidR="00340CC8" w:rsidRDefault="00D54194">
            <w:pPr>
              <w:jc w:val="center"/>
              <w:rPr>
                <w:rFonts w:eastAsia="黑体" w:hAnsi="黑体"/>
                <w:sz w:val="18"/>
                <w:szCs w:val="18"/>
              </w:rPr>
            </w:pPr>
            <w:r>
              <w:rPr>
                <w:rFonts w:eastAsia="黑体" w:hAnsi="黑体" w:hint="eastAsia"/>
                <w:sz w:val="18"/>
                <w:szCs w:val="18"/>
              </w:rPr>
              <w:t>A</w:t>
            </w:r>
            <w:r>
              <w:rPr>
                <w:rFonts w:eastAsia="黑体" w:hAnsi="黑体" w:hint="eastAsia"/>
                <w:sz w:val="18"/>
                <w:szCs w:val="18"/>
              </w:rPr>
              <w:t>类</w:t>
            </w:r>
            <w:r>
              <w:rPr>
                <w:rFonts w:eastAsia="黑体" w:hAnsi="黑体" w:hint="eastAsia"/>
                <w:sz w:val="18"/>
                <w:szCs w:val="18"/>
                <w:vertAlign w:val="superscript"/>
              </w:rPr>
              <w:t>a</w:t>
            </w:r>
          </w:p>
        </w:tc>
        <w:tc>
          <w:tcPr>
            <w:tcW w:w="1019" w:type="dxa"/>
          </w:tcPr>
          <w:p w:rsidR="00340CC8" w:rsidRDefault="00D54194">
            <w:pPr>
              <w:jc w:val="center"/>
              <w:rPr>
                <w:rFonts w:eastAsia="黑体" w:hAnsi="黑体"/>
                <w:sz w:val="18"/>
                <w:szCs w:val="18"/>
              </w:rPr>
            </w:pPr>
            <w:r>
              <w:rPr>
                <w:rFonts w:eastAsia="黑体" w:hAnsi="黑体" w:hint="eastAsia"/>
                <w:sz w:val="18"/>
                <w:szCs w:val="18"/>
              </w:rPr>
              <w:t>B</w:t>
            </w:r>
            <w:r>
              <w:rPr>
                <w:rFonts w:eastAsia="黑体" w:hAnsi="黑体" w:hint="eastAsia"/>
                <w:sz w:val="18"/>
                <w:szCs w:val="18"/>
              </w:rPr>
              <w:t>类</w:t>
            </w:r>
            <w:r>
              <w:rPr>
                <w:rFonts w:eastAsia="黑体" w:hAnsi="黑体" w:hint="eastAsia"/>
                <w:sz w:val="18"/>
                <w:szCs w:val="18"/>
                <w:vertAlign w:val="superscript"/>
              </w:rPr>
              <w:t>b</w:t>
            </w:r>
          </w:p>
        </w:tc>
      </w:tr>
      <w:tr w:rsidR="00340CC8">
        <w:trPr>
          <w:trHeight w:val="438"/>
          <w:jc w:val="center"/>
        </w:trPr>
        <w:tc>
          <w:tcPr>
            <w:tcW w:w="709" w:type="dxa"/>
            <w:vAlign w:val="center"/>
          </w:tcPr>
          <w:p w:rsidR="00340CC8" w:rsidRDefault="00D54194">
            <w:pPr>
              <w:jc w:val="center"/>
              <w:rPr>
                <w:rFonts w:ascii="宋体" w:hAnsi="宋体" w:cs="宋体"/>
                <w:sz w:val="18"/>
                <w:szCs w:val="18"/>
              </w:rPr>
            </w:pPr>
            <w:r>
              <w:rPr>
                <w:rFonts w:ascii="宋体" w:hAnsi="宋体" w:cs="宋体" w:hint="eastAsia"/>
                <w:sz w:val="18"/>
                <w:szCs w:val="18"/>
              </w:rPr>
              <w:t>1</w:t>
            </w:r>
          </w:p>
        </w:tc>
        <w:tc>
          <w:tcPr>
            <w:tcW w:w="1759" w:type="dxa"/>
            <w:vAlign w:val="center"/>
          </w:tcPr>
          <w:p w:rsidR="00340CC8" w:rsidRDefault="00D54194">
            <w:pPr>
              <w:jc w:val="center"/>
              <w:rPr>
                <w:rFonts w:ascii="宋体" w:hAnsi="宋体" w:cs="宋体"/>
                <w:sz w:val="18"/>
                <w:szCs w:val="18"/>
              </w:rPr>
            </w:pPr>
            <w:r>
              <w:rPr>
                <w:rFonts w:ascii="宋体" w:hAnsi="宋体" w:cs="宋体" w:hint="eastAsia"/>
                <w:sz w:val="18"/>
                <w:szCs w:val="18"/>
              </w:rPr>
              <w:t>碎片状态</w:t>
            </w:r>
          </w:p>
        </w:tc>
        <w:tc>
          <w:tcPr>
            <w:tcW w:w="2126" w:type="dxa"/>
            <w:vMerge w:val="restart"/>
            <w:vAlign w:val="center"/>
          </w:tcPr>
          <w:p w:rsidR="00340CC8" w:rsidRDefault="00D54194">
            <w:pPr>
              <w:jc w:val="center"/>
              <w:rPr>
                <w:rFonts w:ascii="宋体" w:hAnsi="宋体" w:cs="宋体"/>
                <w:sz w:val="18"/>
                <w:szCs w:val="18"/>
              </w:rPr>
            </w:pPr>
            <w:r>
              <w:rPr>
                <w:rFonts w:ascii="宋体" w:hAnsi="宋体" w:cs="宋体" w:hint="eastAsia"/>
                <w:sz w:val="18"/>
                <w:szCs w:val="18"/>
              </w:rPr>
              <w:t>GB 15763.2-2005</w:t>
            </w:r>
          </w:p>
        </w:tc>
        <w:tc>
          <w:tcPr>
            <w:tcW w:w="2636" w:type="dxa"/>
            <w:vAlign w:val="center"/>
          </w:tcPr>
          <w:p w:rsidR="00340CC8" w:rsidRDefault="00D54194">
            <w:pPr>
              <w:jc w:val="center"/>
              <w:rPr>
                <w:rFonts w:ascii="宋体" w:hAnsi="宋体" w:cs="宋体"/>
                <w:sz w:val="18"/>
                <w:szCs w:val="18"/>
              </w:rPr>
            </w:pPr>
            <w:r>
              <w:rPr>
                <w:rFonts w:ascii="宋体" w:hAnsi="宋体" w:cs="宋体" w:hint="eastAsia"/>
                <w:sz w:val="18"/>
                <w:szCs w:val="18"/>
              </w:rPr>
              <w:t>GB 15763.2-2005</w:t>
            </w:r>
            <w:r>
              <w:rPr>
                <w:rFonts w:ascii="宋体" w:hAnsi="宋体" w:cs="宋体" w:hint="eastAsia"/>
                <w:sz w:val="18"/>
                <w:szCs w:val="18"/>
              </w:rPr>
              <w:t>中</w:t>
            </w:r>
            <w:r>
              <w:rPr>
                <w:rFonts w:ascii="宋体" w:hAnsi="宋体" w:cs="宋体" w:hint="eastAsia"/>
                <w:sz w:val="18"/>
                <w:szCs w:val="18"/>
              </w:rPr>
              <w:t>6.6</w:t>
            </w:r>
            <w:r>
              <w:rPr>
                <w:rFonts w:ascii="宋体" w:hAnsi="宋体" w:cs="宋体" w:hint="eastAsia"/>
                <w:sz w:val="18"/>
                <w:szCs w:val="18"/>
              </w:rPr>
              <w:t>条</w:t>
            </w:r>
          </w:p>
        </w:tc>
        <w:tc>
          <w:tcPr>
            <w:tcW w:w="1018" w:type="dxa"/>
            <w:vAlign w:val="center"/>
          </w:tcPr>
          <w:p w:rsidR="00340CC8" w:rsidRDefault="00D54194">
            <w:pPr>
              <w:snapToGrid w:val="0"/>
              <w:jc w:val="center"/>
              <w:rPr>
                <w:rFonts w:eastAsia="黑体"/>
                <w:sz w:val="18"/>
                <w:szCs w:val="18"/>
              </w:rPr>
            </w:pPr>
            <w:r>
              <w:rPr>
                <w:rFonts w:eastAsia="黑体" w:hint="eastAsia"/>
                <w:sz w:val="18"/>
                <w:szCs w:val="18"/>
              </w:rPr>
              <w:t>●</w:t>
            </w:r>
          </w:p>
        </w:tc>
        <w:tc>
          <w:tcPr>
            <w:tcW w:w="1019" w:type="dxa"/>
            <w:vAlign w:val="center"/>
          </w:tcPr>
          <w:p w:rsidR="00340CC8" w:rsidRDefault="00340CC8">
            <w:pPr>
              <w:snapToGrid w:val="0"/>
              <w:jc w:val="center"/>
              <w:rPr>
                <w:rFonts w:eastAsia="黑体"/>
                <w:sz w:val="18"/>
                <w:szCs w:val="18"/>
              </w:rPr>
            </w:pPr>
          </w:p>
        </w:tc>
      </w:tr>
      <w:tr w:rsidR="00340CC8">
        <w:trPr>
          <w:trHeight w:val="415"/>
          <w:jc w:val="center"/>
        </w:trPr>
        <w:tc>
          <w:tcPr>
            <w:tcW w:w="709" w:type="dxa"/>
            <w:vAlign w:val="center"/>
          </w:tcPr>
          <w:p w:rsidR="00340CC8" w:rsidRDefault="00D54194">
            <w:pPr>
              <w:jc w:val="center"/>
              <w:rPr>
                <w:rFonts w:ascii="宋体" w:hAnsi="宋体" w:cs="宋体"/>
                <w:sz w:val="18"/>
                <w:szCs w:val="18"/>
              </w:rPr>
            </w:pPr>
            <w:r>
              <w:rPr>
                <w:rFonts w:ascii="宋体" w:hAnsi="宋体" w:cs="宋体" w:hint="eastAsia"/>
                <w:sz w:val="18"/>
                <w:szCs w:val="18"/>
              </w:rPr>
              <w:t>2</w:t>
            </w:r>
          </w:p>
        </w:tc>
        <w:tc>
          <w:tcPr>
            <w:tcW w:w="1759" w:type="dxa"/>
            <w:vAlign w:val="center"/>
          </w:tcPr>
          <w:p w:rsidR="00340CC8" w:rsidRDefault="00D54194">
            <w:pPr>
              <w:jc w:val="center"/>
              <w:rPr>
                <w:rFonts w:ascii="宋体" w:hAnsi="宋体" w:cs="宋体"/>
                <w:sz w:val="18"/>
                <w:szCs w:val="18"/>
              </w:rPr>
            </w:pPr>
            <w:r>
              <w:rPr>
                <w:rFonts w:ascii="宋体" w:hAnsi="宋体" w:cs="宋体" w:hint="eastAsia"/>
                <w:sz w:val="18"/>
                <w:szCs w:val="18"/>
              </w:rPr>
              <w:t>抗冲击性</w:t>
            </w:r>
          </w:p>
        </w:tc>
        <w:tc>
          <w:tcPr>
            <w:tcW w:w="2126" w:type="dxa"/>
            <w:vMerge/>
            <w:vAlign w:val="center"/>
          </w:tcPr>
          <w:p w:rsidR="00340CC8" w:rsidRDefault="00340CC8">
            <w:pPr>
              <w:jc w:val="center"/>
              <w:rPr>
                <w:rFonts w:ascii="宋体" w:hAnsi="宋体" w:cs="宋体"/>
                <w:sz w:val="18"/>
                <w:szCs w:val="18"/>
              </w:rPr>
            </w:pPr>
          </w:p>
        </w:tc>
        <w:tc>
          <w:tcPr>
            <w:tcW w:w="2636" w:type="dxa"/>
            <w:vAlign w:val="center"/>
          </w:tcPr>
          <w:p w:rsidR="00340CC8" w:rsidRDefault="00D54194">
            <w:pPr>
              <w:jc w:val="center"/>
              <w:rPr>
                <w:rFonts w:ascii="宋体" w:hAnsi="宋体" w:cs="宋体"/>
                <w:sz w:val="18"/>
                <w:szCs w:val="18"/>
              </w:rPr>
            </w:pPr>
            <w:r>
              <w:rPr>
                <w:rFonts w:ascii="宋体" w:hAnsi="宋体" w:cs="宋体" w:hint="eastAsia"/>
                <w:sz w:val="18"/>
                <w:szCs w:val="18"/>
              </w:rPr>
              <w:t>GB 15763.2-2005</w:t>
            </w:r>
            <w:r>
              <w:rPr>
                <w:rFonts w:ascii="宋体" w:hAnsi="宋体" w:cs="宋体" w:hint="eastAsia"/>
                <w:sz w:val="18"/>
                <w:szCs w:val="18"/>
              </w:rPr>
              <w:t>中</w:t>
            </w:r>
            <w:r>
              <w:rPr>
                <w:rFonts w:ascii="宋体" w:hAnsi="宋体" w:cs="宋体" w:hint="eastAsia"/>
                <w:sz w:val="18"/>
                <w:szCs w:val="18"/>
              </w:rPr>
              <w:t>6.5</w:t>
            </w:r>
            <w:r>
              <w:rPr>
                <w:rFonts w:ascii="宋体" w:hAnsi="宋体" w:cs="宋体" w:hint="eastAsia"/>
                <w:sz w:val="18"/>
                <w:szCs w:val="18"/>
              </w:rPr>
              <w:t>条</w:t>
            </w:r>
          </w:p>
        </w:tc>
        <w:tc>
          <w:tcPr>
            <w:tcW w:w="1018" w:type="dxa"/>
          </w:tcPr>
          <w:p w:rsidR="00340CC8" w:rsidRDefault="00D54194">
            <w:pPr>
              <w:jc w:val="center"/>
              <w:rPr>
                <w:rFonts w:ascii="宋体" w:hAnsi="宋体" w:cs="宋体"/>
                <w:sz w:val="18"/>
                <w:szCs w:val="18"/>
              </w:rPr>
            </w:pPr>
            <w:r>
              <w:rPr>
                <w:rFonts w:eastAsia="黑体" w:hint="eastAsia"/>
                <w:sz w:val="18"/>
                <w:szCs w:val="18"/>
              </w:rPr>
              <w:t>●</w:t>
            </w:r>
          </w:p>
        </w:tc>
        <w:tc>
          <w:tcPr>
            <w:tcW w:w="1019" w:type="dxa"/>
          </w:tcPr>
          <w:p w:rsidR="00340CC8" w:rsidRDefault="00340CC8">
            <w:pPr>
              <w:jc w:val="center"/>
              <w:rPr>
                <w:rFonts w:ascii="宋体" w:hAnsi="宋体" w:cs="宋体"/>
                <w:sz w:val="18"/>
                <w:szCs w:val="18"/>
              </w:rPr>
            </w:pPr>
          </w:p>
        </w:tc>
      </w:tr>
      <w:tr w:rsidR="00340CC8">
        <w:trPr>
          <w:trHeight w:val="449"/>
          <w:jc w:val="center"/>
        </w:trPr>
        <w:tc>
          <w:tcPr>
            <w:tcW w:w="709" w:type="dxa"/>
            <w:vAlign w:val="center"/>
          </w:tcPr>
          <w:p w:rsidR="00340CC8" w:rsidRDefault="00D54194">
            <w:pPr>
              <w:jc w:val="center"/>
              <w:rPr>
                <w:rFonts w:ascii="宋体" w:hAnsi="宋体" w:cs="宋体"/>
                <w:sz w:val="18"/>
                <w:szCs w:val="18"/>
              </w:rPr>
            </w:pPr>
            <w:r>
              <w:rPr>
                <w:rFonts w:ascii="宋体" w:hAnsi="宋体" w:cs="宋体" w:hint="eastAsia"/>
                <w:sz w:val="18"/>
                <w:szCs w:val="18"/>
              </w:rPr>
              <w:t>3</w:t>
            </w:r>
          </w:p>
        </w:tc>
        <w:tc>
          <w:tcPr>
            <w:tcW w:w="1759" w:type="dxa"/>
            <w:vAlign w:val="center"/>
          </w:tcPr>
          <w:p w:rsidR="00340CC8" w:rsidRDefault="00D54194">
            <w:pPr>
              <w:jc w:val="center"/>
              <w:rPr>
                <w:rFonts w:ascii="宋体" w:hAnsi="宋体" w:cs="宋体"/>
                <w:sz w:val="18"/>
                <w:szCs w:val="18"/>
              </w:rPr>
            </w:pPr>
            <w:r>
              <w:rPr>
                <w:rFonts w:ascii="宋体" w:hAnsi="宋体" w:cs="宋体" w:hint="eastAsia"/>
                <w:sz w:val="18"/>
                <w:szCs w:val="18"/>
              </w:rPr>
              <w:t>霰弹袋冲击性能</w:t>
            </w:r>
          </w:p>
        </w:tc>
        <w:tc>
          <w:tcPr>
            <w:tcW w:w="2126" w:type="dxa"/>
            <w:vMerge/>
            <w:vAlign w:val="center"/>
          </w:tcPr>
          <w:p w:rsidR="00340CC8" w:rsidRDefault="00340CC8">
            <w:pPr>
              <w:jc w:val="center"/>
              <w:rPr>
                <w:rFonts w:ascii="宋体" w:hAnsi="宋体" w:cs="宋体"/>
                <w:sz w:val="18"/>
                <w:szCs w:val="18"/>
              </w:rPr>
            </w:pPr>
          </w:p>
        </w:tc>
        <w:tc>
          <w:tcPr>
            <w:tcW w:w="2636" w:type="dxa"/>
            <w:vAlign w:val="center"/>
          </w:tcPr>
          <w:p w:rsidR="00340CC8" w:rsidRDefault="00D54194">
            <w:pPr>
              <w:jc w:val="center"/>
              <w:rPr>
                <w:rFonts w:ascii="宋体" w:hAnsi="宋体" w:cs="宋体"/>
                <w:sz w:val="18"/>
                <w:szCs w:val="18"/>
              </w:rPr>
            </w:pPr>
            <w:r>
              <w:rPr>
                <w:rFonts w:ascii="宋体" w:hAnsi="宋体" w:cs="宋体" w:hint="eastAsia"/>
                <w:sz w:val="18"/>
                <w:szCs w:val="18"/>
              </w:rPr>
              <w:t>GB 1576gua3.2-2005</w:t>
            </w:r>
            <w:r>
              <w:rPr>
                <w:rFonts w:ascii="宋体" w:hAnsi="宋体" w:cs="宋体" w:hint="eastAsia"/>
                <w:sz w:val="18"/>
                <w:szCs w:val="18"/>
              </w:rPr>
              <w:t>中</w:t>
            </w:r>
            <w:r>
              <w:rPr>
                <w:rFonts w:ascii="宋体" w:hAnsi="宋体" w:cs="宋体" w:hint="eastAsia"/>
                <w:sz w:val="18"/>
                <w:szCs w:val="18"/>
              </w:rPr>
              <w:t>6.7</w:t>
            </w:r>
            <w:r>
              <w:rPr>
                <w:rFonts w:ascii="宋体" w:hAnsi="宋体" w:cs="宋体" w:hint="eastAsia"/>
                <w:sz w:val="18"/>
                <w:szCs w:val="18"/>
              </w:rPr>
              <w:t>条</w:t>
            </w:r>
          </w:p>
        </w:tc>
        <w:tc>
          <w:tcPr>
            <w:tcW w:w="1018" w:type="dxa"/>
          </w:tcPr>
          <w:p w:rsidR="00340CC8" w:rsidRDefault="00D54194">
            <w:pPr>
              <w:jc w:val="center"/>
              <w:rPr>
                <w:rFonts w:ascii="宋体" w:hAnsi="宋体" w:cs="宋体"/>
                <w:sz w:val="18"/>
                <w:szCs w:val="18"/>
              </w:rPr>
            </w:pPr>
            <w:r>
              <w:rPr>
                <w:rFonts w:eastAsia="黑体" w:hint="eastAsia"/>
                <w:sz w:val="18"/>
                <w:szCs w:val="18"/>
              </w:rPr>
              <w:t>●</w:t>
            </w:r>
          </w:p>
        </w:tc>
        <w:tc>
          <w:tcPr>
            <w:tcW w:w="1019" w:type="dxa"/>
          </w:tcPr>
          <w:p w:rsidR="00340CC8" w:rsidRDefault="00340CC8">
            <w:pPr>
              <w:jc w:val="center"/>
              <w:rPr>
                <w:rFonts w:ascii="宋体" w:hAnsi="宋体" w:cs="宋体"/>
                <w:sz w:val="18"/>
                <w:szCs w:val="18"/>
              </w:rPr>
            </w:pPr>
          </w:p>
        </w:tc>
      </w:tr>
      <w:tr w:rsidR="00340CC8">
        <w:trPr>
          <w:trHeight w:val="425"/>
          <w:jc w:val="center"/>
        </w:trPr>
        <w:tc>
          <w:tcPr>
            <w:tcW w:w="709" w:type="dxa"/>
            <w:vAlign w:val="center"/>
          </w:tcPr>
          <w:p w:rsidR="00340CC8" w:rsidRDefault="00D54194">
            <w:pPr>
              <w:jc w:val="center"/>
              <w:rPr>
                <w:rFonts w:ascii="宋体" w:hAnsi="宋体" w:cs="宋体"/>
                <w:sz w:val="18"/>
                <w:szCs w:val="18"/>
              </w:rPr>
            </w:pPr>
            <w:r>
              <w:rPr>
                <w:rFonts w:ascii="宋体" w:hAnsi="宋体" w:cs="宋体" w:hint="eastAsia"/>
                <w:sz w:val="18"/>
                <w:szCs w:val="18"/>
              </w:rPr>
              <w:t>4</w:t>
            </w:r>
          </w:p>
        </w:tc>
        <w:tc>
          <w:tcPr>
            <w:tcW w:w="1759" w:type="dxa"/>
            <w:vAlign w:val="center"/>
          </w:tcPr>
          <w:p w:rsidR="00340CC8" w:rsidRDefault="00D54194">
            <w:pPr>
              <w:jc w:val="center"/>
              <w:rPr>
                <w:rFonts w:ascii="宋体" w:hAnsi="宋体" w:cs="宋体"/>
                <w:sz w:val="18"/>
                <w:szCs w:val="18"/>
              </w:rPr>
            </w:pPr>
            <w:r>
              <w:rPr>
                <w:rFonts w:ascii="宋体" w:hAnsi="宋体" w:cs="宋体" w:hint="eastAsia"/>
                <w:sz w:val="18"/>
                <w:szCs w:val="18"/>
              </w:rPr>
              <w:t>表面应力</w:t>
            </w:r>
          </w:p>
        </w:tc>
        <w:tc>
          <w:tcPr>
            <w:tcW w:w="2126" w:type="dxa"/>
            <w:vMerge/>
            <w:vAlign w:val="center"/>
          </w:tcPr>
          <w:p w:rsidR="00340CC8" w:rsidRDefault="00340CC8">
            <w:pPr>
              <w:jc w:val="center"/>
              <w:rPr>
                <w:rFonts w:ascii="宋体" w:hAnsi="宋体" w:cs="宋体"/>
                <w:sz w:val="18"/>
                <w:szCs w:val="18"/>
              </w:rPr>
            </w:pPr>
          </w:p>
        </w:tc>
        <w:tc>
          <w:tcPr>
            <w:tcW w:w="2636" w:type="dxa"/>
            <w:vAlign w:val="center"/>
          </w:tcPr>
          <w:p w:rsidR="00340CC8" w:rsidRDefault="00D54194">
            <w:pPr>
              <w:jc w:val="center"/>
              <w:rPr>
                <w:rFonts w:ascii="宋体" w:hAnsi="宋体" w:cs="宋体"/>
                <w:color w:val="FF0000"/>
                <w:sz w:val="18"/>
                <w:szCs w:val="18"/>
              </w:rPr>
            </w:pPr>
            <w:r>
              <w:rPr>
                <w:rFonts w:ascii="宋体" w:hAnsi="宋体" w:cs="宋体" w:hint="eastAsia"/>
                <w:sz w:val="18"/>
                <w:szCs w:val="18"/>
              </w:rPr>
              <w:t xml:space="preserve">GB </w:t>
            </w:r>
            <w:r>
              <w:rPr>
                <w:rFonts w:ascii="宋体" w:hAnsi="宋体" w:cs="宋体" w:hint="eastAsia"/>
                <w:sz w:val="18"/>
                <w:szCs w:val="18"/>
              </w:rPr>
              <w:t>15763.2-2005</w:t>
            </w:r>
            <w:r>
              <w:rPr>
                <w:rFonts w:ascii="宋体" w:hAnsi="宋体" w:cs="宋体" w:hint="eastAsia"/>
                <w:sz w:val="18"/>
                <w:szCs w:val="18"/>
              </w:rPr>
              <w:t>中</w:t>
            </w:r>
            <w:r>
              <w:rPr>
                <w:rFonts w:ascii="宋体" w:hAnsi="宋体" w:cs="宋体" w:hint="eastAsia"/>
                <w:sz w:val="18"/>
                <w:szCs w:val="18"/>
              </w:rPr>
              <w:t>6.8</w:t>
            </w:r>
            <w:r>
              <w:rPr>
                <w:rFonts w:ascii="宋体" w:hAnsi="宋体" w:cs="宋体" w:hint="eastAsia"/>
                <w:sz w:val="18"/>
                <w:szCs w:val="18"/>
              </w:rPr>
              <w:t>条</w:t>
            </w:r>
          </w:p>
        </w:tc>
        <w:tc>
          <w:tcPr>
            <w:tcW w:w="1018" w:type="dxa"/>
          </w:tcPr>
          <w:p w:rsidR="00340CC8" w:rsidRDefault="00340CC8">
            <w:pPr>
              <w:jc w:val="center"/>
              <w:rPr>
                <w:rFonts w:ascii="宋体" w:hAnsi="宋体" w:cs="宋体"/>
                <w:sz w:val="18"/>
                <w:szCs w:val="18"/>
              </w:rPr>
            </w:pPr>
          </w:p>
        </w:tc>
        <w:tc>
          <w:tcPr>
            <w:tcW w:w="1019" w:type="dxa"/>
          </w:tcPr>
          <w:p w:rsidR="00340CC8" w:rsidRDefault="00D54194">
            <w:pPr>
              <w:jc w:val="center"/>
              <w:rPr>
                <w:rFonts w:ascii="宋体" w:hAnsi="宋体" w:cs="宋体"/>
                <w:sz w:val="18"/>
                <w:szCs w:val="18"/>
              </w:rPr>
            </w:pPr>
            <w:r>
              <w:rPr>
                <w:rFonts w:eastAsia="黑体" w:hint="eastAsia"/>
                <w:sz w:val="18"/>
                <w:szCs w:val="18"/>
              </w:rPr>
              <w:t>●</w:t>
            </w:r>
          </w:p>
        </w:tc>
      </w:tr>
      <w:tr w:rsidR="00340CC8">
        <w:trPr>
          <w:trHeight w:val="425"/>
          <w:jc w:val="center"/>
        </w:trPr>
        <w:tc>
          <w:tcPr>
            <w:tcW w:w="9267" w:type="dxa"/>
            <w:gridSpan w:val="6"/>
            <w:vAlign w:val="center"/>
          </w:tcPr>
          <w:p w:rsidR="00340CC8" w:rsidRDefault="00D54194">
            <w:pPr>
              <w:snapToGrid w:val="0"/>
              <w:jc w:val="left"/>
              <w:rPr>
                <w:rFonts w:eastAsia="黑体"/>
                <w:sz w:val="18"/>
                <w:szCs w:val="18"/>
              </w:rPr>
            </w:pPr>
            <w:r>
              <w:rPr>
                <w:rFonts w:eastAsia="黑体"/>
                <w:sz w:val="18"/>
                <w:szCs w:val="18"/>
              </w:rPr>
              <w:t>a</w:t>
            </w:r>
            <w:r>
              <w:rPr>
                <w:rFonts w:eastAsia="黑体" w:hint="eastAsia"/>
                <w:sz w:val="18"/>
                <w:szCs w:val="18"/>
              </w:rPr>
              <w:t>极重要质量项目</w:t>
            </w:r>
          </w:p>
          <w:p w:rsidR="00340CC8" w:rsidRDefault="00D54194">
            <w:pPr>
              <w:rPr>
                <w:rFonts w:ascii="宋体" w:hAnsi="宋体" w:cs="宋体"/>
                <w:sz w:val="18"/>
                <w:szCs w:val="18"/>
              </w:rPr>
            </w:pPr>
            <w:r>
              <w:rPr>
                <w:rFonts w:eastAsia="黑体"/>
                <w:sz w:val="18"/>
                <w:szCs w:val="18"/>
              </w:rPr>
              <w:t>b</w:t>
            </w:r>
            <w:r>
              <w:rPr>
                <w:rFonts w:eastAsia="黑体" w:hint="eastAsia"/>
                <w:sz w:val="18"/>
                <w:szCs w:val="18"/>
              </w:rPr>
              <w:t>重要质量项目</w:t>
            </w:r>
          </w:p>
        </w:tc>
      </w:tr>
    </w:tbl>
    <w:p w:rsidR="00340CC8" w:rsidRDefault="00D54194">
      <w:pPr>
        <w:pStyle w:val="1"/>
        <w:ind w:leftChars="170" w:left="897" w:hangingChars="300" w:hanging="540"/>
        <w:rPr>
          <w:sz w:val="18"/>
          <w:szCs w:val="18"/>
        </w:rPr>
      </w:pPr>
      <w:r>
        <w:rPr>
          <w:rFonts w:ascii="黑体" w:eastAsia="黑体" w:hAnsi="黑体" w:cs="黑体" w:hint="eastAsia"/>
          <w:sz w:val="18"/>
          <w:szCs w:val="18"/>
        </w:rPr>
        <w:lastRenderedPageBreak/>
        <w:t>注</w:t>
      </w:r>
      <w:r>
        <w:rPr>
          <w:rFonts w:ascii="黑体" w:eastAsia="黑体" w:hAnsi="黑体" w:cs="黑体" w:hint="eastAsia"/>
          <w:sz w:val="18"/>
          <w:szCs w:val="18"/>
        </w:rPr>
        <w:t xml:space="preserve"> 1</w:t>
      </w:r>
      <w:r>
        <w:rPr>
          <w:rFonts w:ascii="黑体" w:eastAsia="黑体" w:hAnsi="黑体" w:cs="黑体" w:hint="eastAsia"/>
          <w:sz w:val="18"/>
          <w:szCs w:val="18"/>
        </w:rPr>
        <w:t>：</w:t>
      </w:r>
      <w:r>
        <w:rPr>
          <w:rFonts w:hint="eastAsia"/>
          <w:sz w:val="18"/>
          <w:szCs w:val="18"/>
        </w:rPr>
        <w:t>上表所列检验项目是有关法律法规、标准等规定的，重点涉及健康、安全、节能、环保以及消费者、有关组织反映有质量问题的重要项目。</w:t>
      </w:r>
    </w:p>
    <w:p w:rsidR="00340CC8" w:rsidRDefault="00D54194">
      <w:pPr>
        <w:pStyle w:val="1"/>
        <w:ind w:firstLine="360"/>
        <w:rPr>
          <w:sz w:val="18"/>
          <w:szCs w:val="18"/>
        </w:rPr>
      </w:pPr>
      <w:r>
        <w:rPr>
          <w:rFonts w:ascii="黑体" w:eastAsia="黑体" w:hAnsi="黑体" w:cs="黑体" w:hint="eastAsia"/>
          <w:sz w:val="18"/>
          <w:szCs w:val="18"/>
        </w:rPr>
        <w:t>注</w:t>
      </w:r>
      <w:r>
        <w:rPr>
          <w:rFonts w:ascii="黑体" w:eastAsia="黑体" w:hAnsi="黑体" w:cs="黑体" w:hint="eastAsia"/>
          <w:sz w:val="18"/>
          <w:szCs w:val="18"/>
        </w:rPr>
        <w:t xml:space="preserve"> 2</w:t>
      </w:r>
      <w:r>
        <w:rPr>
          <w:rFonts w:ascii="黑体" w:eastAsia="黑体" w:hAnsi="黑体" w:cs="黑体" w:hint="eastAsia"/>
          <w:sz w:val="18"/>
          <w:szCs w:val="18"/>
        </w:rPr>
        <w:t>：</w:t>
      </w:r>
      <w:r>
        <w:rPr>
          <w:rFonts w:hint="eastAsia"/>
          <w:sz w:val="18"/>
          <w:szCs w:val="18"/>
        </w:rPr>
        <w:t>检验方法包括相关产品标准及试验方法标准。</w:t>
      </w:r>
    </w:p>
    <w:p w:rsidR="00340CC8" w:rsidRDefault="00D54194">
      <w:pPr>
        <w:snapToGrid w:val="0"/>
        <w:spacing w:line="360" w:lineRule="auto"/>
        <w:ind w:firstLineChars="200" w:firstLine="360"/>
        <w:rPr>
          <w:rFonts w:eastAsia="黑体"/>
          <w:b/>
          <w:szCs w:val="21"/>
        </w:rPr>
      </w:pPr>
      <w:r>
        <w:rPr>
          <w:rFonts w:ascii="黑体" w:eastAsia="黑体" w:hAnsi="黑体" w:cs="黑体" w:hint="eastAsia"/>
          <w:sz w:val="18"/>
          <w:szCs w:val="18"/>
        </w:rPr>
        <w:t>注</w:t>
      </w:r>
      <w:r>
        <w:rPr>
          <w:rFonts w:ascii="黑体" w:eastAsia="黑体" w:hAnsi="黑体" w:cs="黑体" w:hint="eastAsia"/>
          <w:sz w:val="18"/>
          <w:szCs w:val="18"/>
        </w:rPr>
        <w:t xml:space="preserve"> 3</w:t>
      </w:r>
      <w:r>
        <w:rPr>
          <w:rFonts w:ascii="黑体" w:eastAsia="黑体" w:hAnsi="黑体" w:cs="黑体" w:hint="eastAsia"/>
          <w:sz w:val="18"/>
          <w:szCs w:val="18"/>
        </w:rPr>
        <w:t>：</w:t>
      </w:r>
      <w:r>
        <w:rPr>
          <w:rFonts w:hint="eastAsia"/>
          <w:sz w:val="18"/>
          <w:szCs w:val="18"/>
        </w:rPr>
        <w:t>凡是注日期的文件，其随后所有的修改单（不包括勘误的内容）或修订版不适用于本细则。凡是不注日期的文件，其最新版本适用于本细则。</w:t>
      </w:r>
    </w:p>
    <w:p w:rsidR="00340CC8" w:rsidRDefault="00340CC8">
      <w:pPr>
        <w:adjustRightInd w:val="0"/>
        <w:snapToGrid w:val="0"/>
        <w:spacing w:line="360" w:lineRule="auto"/>
        <w:rPr>
          <w:rFonts w:eastAsia="黑体"/>
          <w:b/>
          <w:szCs w:val="21"/>
        </w:rPr>
      </w:pPr>
    </w:p>
    <w:p w:rsidR="00340CC8" w:rsidRDefault="00D54194">
      <w:pPr>
        <w:adjustRightInd w:val="0"/>
        <w:snapToGrid w:val="0"/>
        <w:spacing w:line="360" w:lineRule="auto"/>
        <w:rPr>
          <w:rFonts w:eastAsia="黑体"/>
          <w:b/>
          <w:szCs w:val="21"/>
        </w:rPr>
      </w:pPr>
      <w:r>
        <w:rPr>
          <w:rFonts w:eastAsia="黑体"/>
          <w:b/>
          <w:szCs w:val="21"/>
        </w:rPr>
        <w:t xml:space="preserve">3 </w:t>
      </w:r>
      <w:r>
        <w:rPr>
          <w:rFonts w:eastAsia="黑体" w:hAnsi="黑体"/>
          <w:b/>
          <w:szCs w:val="21"/>
        </w:rPr>
        <w:t>判定规则</w:t>
      </w:r>
    </w:p>
    <w:p w:rsidR="00340CC8" w:rsidRDefault="00D54194">
      <w:pPr>
        <w:snapToGrid w:val="0"/>
        <w:spacing w:line="360" w:lineRule="auto"/>
        <w:rPr>
          <w:b/>
          <w:color w:val="000000"/>
          <w:szCs w:val="21"/>
        </w:rPr>
      </w:pPr>
      <w:r>
        <w:rPr>
          <w:b/>
          <w:color w:val="000000"/>
          <w:szCs w:val="21"/>
        </w:rPr>
        <w:t>3.1</w:t>
      </w:r>
      <w:r>
        <w:rPr>
          <w:rFonts w:hAnsi="宋体"/>
          <w:b/>
          <w:color w:val="000000"/>
          <w:szCs w:val="21"/>
        </w:rPr>
        <w:t>依据标准</w:t>
      </w:r>
    </w:p>
    <w:p w:rsidR="00340CC8" w:rsidRDefault="00D54194">
      <w:pPr>
        <w:pStyle w:val="1"/>
        <w:spacing w:line="360" w:lineRule="auto"/>
        <w:rPr>
          <w:rFonts w:ascii="Times New Roman" w:hAnsi="Times New Roman"/>
        </w:rPr>
      </w:pPr>
      <w:r>
        <w:rPr>
          <w:rFonts w:ascii="Times New Roman" w:hAnsi="Times New Roman"/>
        </w:rPr>
        <w:t xml:space="preserve">GB 15763.2-2005 </w:t>
      </w:r>
      <w:r>
        <w:rPr>
          <w:rFonts w:ascii="Times New Roman" w:hAnsi="Times New Roman" w:hint="eastAsia"/>
        </w:rPr>
        <w:t>建筑用安全玻璃</w:t>
      </w:r>
      <w:r>
        <w:rPr>
          <w:rFonts w:ascii="Times New Roman" w:hAnsi="Times New Roman"/>
        </w:rPr>
        <w:tab/>
      </w:r>
      <w:r>
        <w:rPr>
          <w:rFonts w:ascii="Times New Roman" w:hAnsi="Times New Roman" w:hint="eastAsia"/>
        </w:rPr>
        <w:t>第</w:t>
      </w:r>
      <w:r>
        <w:rPr>
          <w:rFonts w:ascii="Times New Roman" w:hAnsi="Times New Roman" w:hint="eastAsia"/>
        </w:rPr>
        <w:t>2</w:t>
      </w:r>
      <w:r>
        <w:rPr>
          <w:rFonts w:ascii="Times New Roman" w:hAnsi="Times New Roman" w:hint="eastAsia"/>
        </w:rPr>
        <w:t>部分</w:t>
      </w:r>
      <w:r>
        <w:rPr>
          <w:rFonts w:ascii="Times New Roman" w:hAnsi="Times New Roman" w:hint="eastAsia"/>
        </w:rPr>
        <w:t>:</w:t>
      </w:r>
      <w:r>
        <w:rPr>
          <w:rFonts w:ascii="Times New Roman" w:hAnsi="Times New Roman" w:hint="eastAsia"/>
        </w:rPr>
        <w:t>钢化玻璃</w:t>
      </w:r>
    </w:p>
    <w:p w:rsidR="00340CC8" w:rsidRDefault="00D54194">
      <w:pPr>
        <w:pStyle w:val="1"/>
        <w:spacing w:line="360" w:lineRule="auto"/>
      </w:pPr>
      <w:r>
        <w:rPr>
          <w:rFonts w:hint="eastAsia"/>
        </w:rPr>
        <w:t>相关的法律、行政法规、部门规章、规范性文件。</w:t>
      </w:r>
    </w:p>
    <w:p w:rsidR="00340CC8" w:rsidRDefault="00D54194">
      <w:pPr>
        <w:pStyle w:val="1"/>
        <w:spacing w:line="360" w:lineRule="auto"/>
        <w:rPr>
          <w:color w:val="000000"/>
          <w:szCs w:val="21"/>
        </w:rPr>
      </w:pPr>
      <w:r>
        <w:rPr>
          <w:rFonts w:hint="eastAsia"/>
        </w:rPr>
        <w:t>经中国国家标准化管理委员会的企业标准信息公共服务平台公示现行有效的企业标准和产品明示质量要求。</w:t>
      </w:r>
    </w:p>
    <w:p w:rsidR="00340CC8" w:rsidRDefault="00D54194">
      <w:pPr>
        <w:snapToGrid w:val="0"/>
        <w:spacing w:line="360" w:lineRule="auto"/>
        <w:rPr>
          <w:b/>
          <w:color w:val="000000"/>
          <w:szCs w:val="21"/>
        </w:rPr>
      </w:pPr>
      <w:r>
        <w:rPr>
          <w:b/>
          <w:color w:val="000000"/>
          <w:szCs w:val="21"/>
        </w:rPr>
        <w:t>3.2</w:t>
      </w:r>
      <w:r>
        <w:rPr>
          <w:rFonts w:hAnsi="宋体"/>
          <w:b/>
          <w:color w:val="000000"/>
          <w:szCs w:val="21"/>
        </w:rPr>
        <w:t>判定原则</w:t>
      </w:r>
    </w:p>
    <w:p w:rsidR="00340CC8" w:rsidRDefault="00D54194">
      <w:pPr>
        <w:snapToGrid w:val="0"/>
        <w:spacing w:line="360" w:lineRule="auto"/>
        <w:ind w:firstLineChars="200" w:firstLine="420"/>
        <w:rPr>
          <w:color w:val="000000"/>
          <w:szCs w:val="21"/>
        </w:rPr>
      </w:pPr>
      <w:r>
        <w:rPr>
          <w:rFonts w:hAnsi="宋体"/>
          <w:color w:val="000000"/>
          <w:szCs w:val="21"/>
        </w:rPr>
        <w:t>经检验，检验项目全部合格，判定为被抽查产品合格；检验项目中任一项或一项以上不合格，判定为被抽查产品不合格。</w:t>
      </w:r>
      <w:r>
        <w:rPr>
          <w:rFonts w:hAnsi="宋体" w:hint="eastAsia"/>
          <w:color w:val="000000"/>
          <w:szCs w:val="21"/>
        </w:rPr>
        <w:t>当产品存在</w:t>
      </w:r>
      <w:r>
        <w:rPr>
          <w:rFonts w:hAnsi="宋体" w:hint="eastAsia"/>
          <w:color w:val="000000"/>
          <w:szCs w:val="21"/>
        </w:rPr>
        <w:t>A</w:t>
      </w:r>
      <w:r>
        <w:rPr>
          <w:rFonts w:hAnsi="宋体" w:hint="eastAsia"/>
          <w:color w:val="000000"/>
          <w:szCs w:val="21"/>
        </w:rPr>
        <w:t>类项目不合格时，属于严重不合格。</w:t>
      </w:r>
    </w:p>
    <w:p w:rsidR="00340CC8" w:rsidRDefault="00D54194" w:rsidP="0029788A">
      <w:pPr>
        <w:snapToGrid w:val="0"/>
        <w:spacing w:line="360" w:lineRule="auto"/>
        <w:ind w:firstLineChars="199" w:firstLine="418"/>
        <w:rPr>
          <w:color w:val="000000"/>
          <w:szCs w:val="21"/>
        </w:rPr>
      </w:pPr>
      <w:r>
        <w:rPr>
          <w:rFonts w:hAnsi="宋体"/>
          <w:color w:val="000000"/>
          <w:szCs w:val="21"/>
        </w:rPr>
        <w:t>若被检产品明示的质量要求高于本细则中检验项目依据的标准要求时，应按被检产品明示的质量要求判定。</w:t>
      </w:r>
    </w:p>
    <w:p w:rsidR="00340CC8" w:rsidRDefault="00D54194" w:rsidP="0029788A">
      <w:pPr>
        <w:snapToGrid w:val="0"/>
        <w:spacing w:line="360" w:lineRule="auto"/>
        <w:ind w:firstLineChars="199" w:firstLine="418"/>
        <w:rPr>
          <w:color w:val="000000"/>
          <w:szCs w:val="21"/>
        </w:rPr>
      </w:pPr>
      <w:r>
        <w:rPr>
          <w:rFonts w:hAnsi="宋体"/>
          <w:color w:val="000000"/>
          <w:szCs w:val="21"/>
        </w:rPr>
        <w:t>若被检产品明示的质量要求低于本细则中检验项目依据的强制性标准要求时，应按照强制性标准要求判定。</w:t>
      </w:r>
    </w:p>
    <w:p w:rsidR="00340CC8" w:rsidRDefault="00D54194" w:rsidP="0029788A">
      <w:pPr>
        <w:snapToGrid w:val="0"/>
        <w:spacing w:line="360" w:lineRule="auto"/>
        <w:ind w:firstLineChars="199" w:firstLine="418"/>
        <w:rPr>
          <w:szCs w:val="21"/>
        </w:rPr>
      </w:pPr>
      <w:r>
        <w:rPr>
          <w:rFonts w:hAnsi="宋体"/>
          <w:szCs w:val="21"/>
        </w:rPr>
        <w:t>若被检产品</w:t>
      </w:r>
      <w:r>
        <w:rPr>
          <w:rFonts w:hAnsi="宋体"/>
          <w:szCs w:val="21"/>
        </w:rPr>
        <w:t>明示的质量要求低于或包含细则中检验项目依据的推荐性标准要求时，应以被检产品明示的质量要求判定，但应在检验报告备注中进行说明。</w:t>
      </w:r>
    </w:p>
    <w:p w:rsidR="00340CC8" w:rsidRDefault="00D54194" w:rsidP="0029788A">
      <w:pPr>
        <w:snapToGrid w:val="0"/>
        <w:spacing w:line="360" w:lineRule="auto"/>
        <w:ind w:firstLineChars="199" w:firstLine="418"/>
        <w:rPr>
          <w:color w:val="000000"/>
          <w:szCs w:val="21"/>
        </w:rPr>
      </w:pPr>
      <w:r>
        <w:rPr>
          <w:rFonts w:hAnsi="宋体"/>
          <w:color w:val="000000"/>
          <w:szCs w:val="21"/>
        </w:rPr>
        <w:t>若被检产品明示的质量要求缺少本细则中检验项目依据的强制性标准要求时，应按照强制性标准要求判定。</w:t>
      </w:r>
    </w:p>
    <w:p w:rsidR="00340CC8" w:rsidRDefault="00D54194" w:rsidP="0029788A">
      <w:pPr>
        <w:snapToGrid w:val="0"/>
        <w:spacing w:line="360" w:lineRule="auto"/>
        <w:ind w:firstLineChars="199" w:firstLine="418"/>
      </w:pPr>
      <w:r>
        <w:rPr>
          <w:rFonts w:hAnsi="宋体"/>
          <w:color w:val="000000"/>
          <w:szCs w:val="21"/>
        </w:rPr>
        <w:t>若被检产品明示的质量要求缺少本细则中检验项目依据的推荐性标准要求时，该项目不参与判定，但应在检验报告备注中进行说明。</w:t>
      </w:r>
    </w:p>
    <w:p w:rsidR="00340CC8" w:rsidRDefault="00340CC8" w:rsidP="0029788A">
      <w:pPr>
        <w:snapToGrid w:val="0"/>
        <w:spacing w:line="360" w:lineRule="auto"/>
        <w:ind w:firstLineChars="199" w:firstLine="418"/>
      </w:pPr>
    </w:p>
    <w:p w:rsidR="00340CC8" w:rsidRDefault="00D54194">
      <w:pPr>
        <w:snapToGrid w:val="0"/>
        <w:spacing w:line="360" w:lineRule="auto"/>
        <w:rPr>
          <w:szCs w:val="21"/>
        </w:rPr>
      </w:pPr>
      <w:r>
        <w:rPr>
          <w:rFonts w:eastAsia="黑体"/>
          <w:b/>
          <w:szCs w:val="21"/>
          <w:lang/>
        </w:rPr>
        <w:t xml:space="preserve">4 </w:t>
      </w:r>
      <w:r>
        <w:rPr>
          <w:rFonts w:ascii="黑体" w:eastAsia="黑体" w:hAnsi="宋体" w:cs="黑体" w:hint="eastAsia"/>
          <w:b/>
          <w:szCs w:val="21"/>
          <w:lang/>
        </w:rPr>
        <w:t>异议处理</w:t>
      </w:r>
    </w:p>
    <w:p w:rsidR="00340CC8" w:rsidRDefault="00340CC8">
      <w:pPr>
        <w:snapToGrid w:val="0"/>
        <w:spacing w:line="360" w:lineRule="auto"/>
        <w:ind w:firstLineChars="200" w:firstLine="422"/>
        <w:rPr>
          <w:color w:val="000000"/>
          <w:szCs w:val="21"/>
        </w:rPr>
      </w:pPr>
      <w:r w:rsidRPr="00340CC8">
        <w:rPr>
          <w:b/>
          <w:bCs/>
          <w:color w:val="000000"/>
          <w:szCs w:val="21"/>
        </w:rPr>
        <w:pict>
          <v:shapetype id="_x0000_t32" coordsize="21600,21600" o:spt="32" o:oned="t" path="m,l21600,21600e" filled="f">
            <v:path arrowok="t" fillok="f" o:connecttype="none"/>
            <o:lock v:ext="edit" shapetype="t"/>
          </v:shapetype>
          <v:shape id="_x0000_s1030" type="#_x0000_t32" style="position:absolute;left:0;text-align:left;margin-left:140.3pt;margin-top:103.55pt;width:171pt;height:0;z-index:251660288" o:connectortype="straight" strokeweight=".25pt"/>
        </w:pict>
      </w:r>
      <w:r w:rsidR="00D54194">
        <w:rPr>
          <w:rFonts w:ascii="宋体" w:hAnsi="宋体" w:cs="宋体" w:hint="eastAsia"/>
          <w:color w:val="000000"/>
          <w:szCs w:val="21"/>
          <w:lang/>
        </w:rPr>
        <w:t>对判定不合格产品进行异议处理时，按以下方式进行：</w:t>
      </w:r>
      <w:r w:rsidR="00D54194">
        <w:rPr>
          <w:color w:val="000000"/>
          <w:szCs w:val="21"/>
          <w:lang/>
        </w:rPr>
        <w:br/>
      </w:r>
      <w:r w:rsidR="00D54194">
        <w:rPr>
          <w:b/>
          <w:color w:val="000000"/>
          <w:szCs w:val="21"/>
          <w:lang/>
        </w:rPr>
        <w:t>4.1</w:t>
      </w:r>
      <w:r w:rsidR="00D54194">
        <w:rPr>
          <w:rFonts w:ascii="宋体" w:hAnsi="宋体" w:cs="宋体" w:hint="eastAsia"/>
          <w:color w:val="000000"/>
          <w:szCs w:val="21"/>
          <w:lang/>
        </w:rPr>
        <w:t>市场监管部门负责接收、审核异议申请材料，对于同意复检的，通知检测机构复检。</w:t>
      </w:r>
      <w:r w:rsidR="00D54194">
        <w:rPr>
          <w:color w:val="000000"/>
          <w:szCs w:val="21"/>
          <w:lang/>
        </w:rPr>
        <w:br/>
      </w:r>
      <w:r w:rsidR="00D54194">
        <w:rPr>
          <w:b/>
          <w:color w:val="000000"/>
          <w:szCs w:val="21"/>
          <w:lang/>
        </w:rPr>
        <w:t>4.2</w:t>
      </w:r>
      <w:r w:rsidR="00D54194">
        <w:rPr>
          <w:rFonts w:ascii="宋体" w:hAnsi="宋体" w:cs="宋体" w:hint="eastAsia"/>
          <w:color w:val="000000"/>
          <w:szCs w:val="21"/>
          <w:lang/>
        </w:rPr>
        <w:t>检测机构通知异议申请人相关复检的安排。</w:t>
      </w:r>
      <w:r w:rsidR="00D54194">
        <w:rPr>
          <w:color w:val="000000"/>
          <w:szCs w:val="21"/>
          <w:lang/>
        </w:rPr>
        <w:br/>
      </w:r>
      <w:r w:rsidR="00D54194">
        <w:rPr>
          <w:b/>
          <w:color w:val="000000"/>
          <w:szCs w:val="21"/>
          <w:lang/>
        </w:rPr>
        <w:t>4.3</w:t>
      </w:r>
      <w:r w:rsidR="00D54194">
        <w:rPr>
          <w:rFonts w:ascii="宋体" w:hAnsi="宋体" w:cs="宋体" w:hint="eastAsia"/>
          <w:color w:val="000000"/>
          <w:szCs w:val="21"/>
          <w:lang/>
        </w:rPr>
        <w:t>检测机构按照实施细则对异议项目进行复检，复检结论为异议处理的最终结论。</w:t>
      </w:r>
      <w:r w:rsidR="00D54194">
        <w:rPr>
          <w:color w:val="000000"/>
          <w:szCs w:val="21"/>
          <w:lang/>
        </w:rPr>
        <w:br/>
      </w:r>
      <w:r w:rsidR="00D54194">
        <w:rPr>
          <w:b/>
          <w:color w:val="000000"/>
          <w:szCs w:val="21"/>
          <w:lang/>
        </w:rPr>
        <w:t>4.4</w:t>
      </w:r>
      <w:r w:rsidR="00D54194">
        <w:rPr>
          <w:rFonts w:ascii="宋体" w:hAnsi="宋体" w:cs="宋体" w:hint="eastAsia"/>
          <w:color w:val="000000"/>
          <w:szCs w:val="21"/>
          <w:lang/>
        </w:rPr>
        <w:t>市场监管部门将复检相关文书递送异议申请人。</w:t>
      </w:r>
    </w:p>
    <w:sectPr w:rsidR="00340CC8" w:rsidSect="00340CC8">
      <w:footerReference w:type="default" r:id="rId10"/>
      <w:pgSz w:w="11906" w:h="16838"/>
      <w:pgMar w:top="1985" w:right="1361" w:bottom="1361" w:left="158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194" w:rsidRDefault="00D54194" w:rsidP="00340CC8">
      <w:r>
        <w:separator/>
      </w:r>
    </w:p>
  </w:endnote>
  <w:endnote w:type="continuationSeparator" w:id="1">
    <w:p w:rsidR="00D54194" w:rsidRDefault="00D54194" w:rsidP="00340C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C8" w:rsidRDefault="00340CC8">
    <w:pPr>
      <w:pStyle w:val="a8"/>
      <w:framePr w:wrap="around" w:vAnchor="text" w:hAnchor="margin" w:xAlign="center" w:y="1"/>
      <w:rPr>
        <w:rStyle w:val="aa"/>
      </w:rPr>
    </w:pPr>
    <w:r>
      <w:fldChar w:fldCharType="begin"/>
    </w:r>
    <w:r w:rsidR="00D54194">
      <w:rPr>
        <w:rStyle w:val="aa"/>
      </w:rPr>
      <w:instrText xml:space="preserve">PAGE  </w:instrText>
    </w:r>
    <w:r>
      <w:fldChar w:fldCharType="separate"/>
    </w:r>
    <w:r w:rsidR="00D54194">
      <w:rPr>
        <w:rStyle w:val="aa"/>
      </w:rPr>
      <w:t>2</w:t>
    </w:r>
    <w:r>
      <w:fldChar w:fldCharType="end"/>
    </w:r>
  </w:p>
  <w:p w:rsidR="00340CC8" w:rsidRDefault="00340CC8">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C8" w:rsidRDefault="00340CC8">
    <w:pPr>
      <w:pStyle w:val="a8"/>
      <w:jc w:val="center"/>
    </w:pPr>
  </w:p>
  <w:p w:rsidR="00340CC8" w:rsidRDefault="00340CC8">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C8" w:rsidRDefault="00340CC8">
    <w:pPr>
      <w:pStyle w:val="a8"/>
      <w:jc w:val="center"/>
    </w:pPr>
    <w:r>
      <w:rPr>
        <w:lang w:val="zh-CN"/>
      </w:rPr>
      <w:fldChar w:fldCharType="begin"/>
    </w:r>
    <w:r w:rsidR="00D54194">
      <w:rPr>
        <w:lang w:val="zh-CN"/>
      </w:rPr>
      <w:instrText xml:space="preserve"> PAGE   \* MERGEFORMAT </w:instrText>
    </w:r>
    <w:r>
      <w:rPr>
        <w:lang w:val="zh-CN"/>
      </w:rPr>
      <w:fldChar w:fldCharType="separate"/>
    </w:r>
    <w:r w:rsidR="0029788A" w:rsidRPr="0029788A">
      <w:rPr>
        <w:noProof/>
      </w:rPr>
      <w:t>2</w:t>
    </w:r>
    <w:r>
      <w:rPr>
        <w:lang w:val="zh-CN"/>
      </w:rPr>
      <w:fldChar w:fldCharType="end"/>
    </w:r>
  </w:p>
  <w:p w:rsidR="00340CC8" w:rsidRDefault="00340CC8">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194" w:rsidRDefault="00D54194" w:rsidP="00340CC8">
      <w:r>
        <w:separator/>
      </w:r>
    </w:p>
  </w:footnote>
  <w:footnote w:type="continuationSeparator" w:id="1">
    <w:p w:rsidR="00D54194" w:rsidRDefault="00D54194" w:rsidP="00340C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C8" w:rsidRDefault="00340CC8">
    <w:pPr>
      <w:pStyle w:val="a9"/>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北冥有鱼1397640248">
    <w15:presenceInfo w15:providerId="WPS Office" w15:userId="241724438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B18"/>
    <w:rsid w:val="00023C4E"/>
    <w:rsid w:val="000276A9"/>
    <w:rsid w:val="00034CEA"/>
    <w:rsid w:val="00035064"/>
    <w:rsid w:val="00037D8D"/>
    <w:rsid w:val="00051A44"/>
    <w:rsid w:val="000621E4"/>
    <w:rsid w:val="000672B7"/>
    <w:rsid w:val="00067A7D"/>
    <w:rsid w:val="00071001"/>
    <w:rsid w:val="00081CBD"/>
    <w:rsid w:val="0009399B"/>
    <w:rsid w:val="000976DE"/>
    <w:rsid w:val="000D0007"/>
    <w:rsid w:val="000D3759"/>
    <w:rsid w:val="000E40DD"/>
    <w:rsid w:val="000F2F4E"/>
    <w:rsid w:val="000F64F9"/>
    <w:rsid w:val="000F6E44"/>
    <w:rsid w:val="000F7E56"/>
    <w:rsid w:val="001035C2"/>
    <w:rsid w:val="00106D82"/>
    <w:rsid w:val="001427FD"/>
    <w:rsid w:val="00155096"/>
    <w:rsid w:val="00164E0C"/>
    <w:rsid w:val="001715A9"/>
    <w:rsid w:val="00172A27"/>
    <w:rsid w:val="00175489"/>
    <w:rsid w:val="001754B1"/>
    <w:rsid w:val="001809DD"/>
    <w:rsid w:val="00185F3A"/>
    <w:rsid w:val="0018638C"/>
    <w:rsid w:val="00192615"/>
    <w:rsid w:val="001C1B5C"/>
    <w:rsid w:val="001C1D2B"/>
    <w:rsid w:val="001C4F34"/>
    <w:rsid w:val="001C7157"/>
    <w:rsid w:val="001D1FBC"/>
    <w:rsid w:val="001D5C67"/>
    <w:rsid w:val="001D6824"/>
    <w:rsid w:val="001D7237"/>
    <w:rsid w:val="001E4729"/>
    <w:rsid w:val="00205E9A"/>
    <w:rsid w:val="00210539"/>
    <w:rsid w:val="00223317"/>
    <w:rsid w:val="00225BB4"/>
    <w:rsid w:val="002448A3"/>
    <w:rsid w:val="00252F0A"/>
    <w:rsid w:val="00253624"/>
    <w:rsid w:val="002710B5"/>
    <w:rsid w:val="00274E3E"/>
    <w:rsid w:val="002825C2"/>
    <w:rsid w:val="00287B95"/>
    <w:rsid w:val="00293B52"/>
    <w:rsid w:val="0029788A"/>
    <w:rsid w:val="002A19C4"/>
    <w:rsid w:val="002A7719"/>
    <w:rsid w:val="002A7D1C"/>
    <w:rsid w:val="002B50E7"/>
    <w:rsid w:val="002D7F8A"/>
    <w:rsid w:val="002E0D1D"/>
    <w:rsid w:val="002E1EAC"/>
    <w:rsid w:val="002E68A8"/>
    <w:rsid w:val="002E772A"/>
    <w:rsid w:val="002F49EA"/>
    <w:rsid w:val="00306A87"/>
    <w:rsid w:val="00311DD2"/>
    <w:rsid w:val="003203A3"/>
    <w:rsid w:val="00321D5F"/>
    <w:rsid w:val="00340CC8"/>
    <w:rsid w:val="00370830"/>
    <w:rsid w:val="00371567"/>
    <w:rsid w:val="00375E4A"/>
    <w:rsid w:val="0039208F"/>
    <w:rsid w:val="00392A15"/>
    <w:rsid w:val="003A1E75"/>
    <w:rsid w:val="003B226D"/>
    <w:rsid w:val="003B6E7D"/>
    <w:rsid w:val="003C388C"/>
    <w:rsid w:val="003C4CFD"/>
    <w:rsid w:val="003D0118"/>
    <w:rsid w:val="003E4890"/>
    <w:rsid w:val="003E61BF"/>
    <w:rsid w:val="0040154B"/>
    <w:rsid w:val="00426A48"/>
    <w:rsid w:val="00427D8E"/>
    <w:rsid w:val="00441CD2"/>
    <w:rsid w:val="00442A9A"/>
    <w:rsid w:val="00445E86"/>
    <w:rsid w:val="00457A50"/>
    <w:rsid w:val="00474E04"/>
    <w:rsid w:val="004820E0"/>
    <w:rsid w:val="00490A9C"/>
    <w:rsid w:val="004A2393"/>
    <w:rsid w:val="004A29CE"/>
    <w:rsid w:val="004B02CC"/>
    <w:rsid w:val="004D0C5A"/>
    <w:rsid w:val="004D0E11"/>
    <w:rsid w:val="004D25D5"/>
    <w:rsid w:val="004E1396"/>
    <w:rsid w:val="004F23B6"/>
    <w:rsid w:val="004F4DF1"/>
    <w:rsid w:val="00515553"/>
    <w:rsid w:val="005317D6"/>
    <w:rsid w:val="00546D50"/>
    <w:rsid w:val="005608C8"/>
    <w:rsid w:val="00560BA9"/>
    <w:rsid w:val="00563EBC"/>
    <w:rsid w:val="00590B11"/>
    <w:rsid w:val="0059437C"/>
    <w:rsid w:val="005A62EF"/>
    <w:rsid w:val="005B210F"/>
    <w:rsid w:val="005C50E3"/>
    <w:rsid w:val="005E6344"/>
    <w:rsid w:val="006241C7"/>
    <w:rsid w:val="00627B95"/>
    <w:rsid w:val="006418A5"/>
    <w:rsid w:val="0064319B"/>
    <w:rsid w:val="00643C90"/>
    <w:rsid w:val="006456DE"/>
    <w:rsid w:val="006617E9"/>
    <w:rsid w:val="00664DE7"/>
    <w:rsid w:val="006661AC"/>
    <w:rsid w:val="00667656"/>
    <w:rsid w:val="006A1926"/>
    <w:rsid w:val="006A4981"/>
    <w:rsid w:val="006B3511"/>
    <w:rsid w:val="006B4E28"/>
    <w:rsid w:val="006B61F3"/>
    <w:rsid w:val="006B7ACD"/>
    <w:rsid w:val="006F0971"/>
    <w:rsid w:val="007035AB"/>
    <w:rsid w:val="007064E0"/>
    <w:rsid w:val="007076A7"/>
    <w:rsid w:val="00720D95"/>
    <w:rsid w:val="00721C12"/>
    <w:rsid w:val="0072334C"/>
    <w:rsid w:val="0074174D"/>
    <w:rsid w:val="00751A28"/>
    <w:rsid w:val="00753A8A"/>
    <w:rsid w:val="00756A15"/>
    <w:rsid w:val="007626BB"/>
    <w:rsid w:val="00764B44"/>
    <w:rsid w:val="00787B96"/>
    <w:rsid w:val="00791146"/>
    <w:rsid w:val="007951C3"/>
    <w:rsid w:val="00796065"/>
    <w:rsid w:val="007B3BBD"/>
    <w:rsid w:val="007C6565"/>
    <w:rsid w:val="007D4454"/>
    <w:rsid w:val="007D5622"/>
    <w:rsid w:val="007F26B4"/>
    <w:rsid w:val="007F3C35"/>
    <w:rsid w:val="007F4EC2"/>
    <w:rsid w:val="0080654F"/>
    <w:rsid w:val="008121A2"/>
    <w:rsid w:val="0081453E"/>
    <w:rsid w:val="00817176"/>
    <w:rsid w:val="00822B4B"/>
    <w:rsid w:val="00822D8A"/>
    <w:rsid w:val="00832480"/>
    <w:rsid w:val="0083350B"/>
    <w:rsid w:val="00833A7C"/>
    <w:rsid w:val="00835F10"/>
    <w:rsid w:val="0084366D"/>
    <w:rsid w:val="00854F6E"/>
    <w:rsid w:val="00860EE6"/>
    <w:rsid w:val="00865D04"/>
    <w:rsid w:val="00875457"/>
    <w:rsid w:val="00895BEA"/>
    <w:rsid w:val="008A0055"/>
    <w:rsid w:val="008A0FF4"/>
    <w:rsid w:val="008A3497"/>
    <w:rsid w:val="008A3F59"/>
    <w:rsid w:val="008A5AF6"/>
    <w:rsid w:val="008A5D98"/>
    <w:rsid w:val="008B69C6"/>
    <w:rsid w:val="008B6AA6"/>
    <w:rsid w:val="008E32F0"/>
    <w:rsid w:val="008E5064"/>
    <w:rsid w:val="008E58B9"/>
    <w:rsid w:val="008E5B49"/>
    <w:rsid w:val="008E73FB"/>
    <w:rsid w:val="008F2CA7"/>
    <w:rsid w:val="009055F7"/>
    <w:rsid w:val="00916DA0"/>
    <w:rsid w:val="00917A54"/>
    <w:rsid w:val="00920717"/>
    <w:rsid w:val="00921C33"/>
    <w:rsid w:val="009339AE"/>
    <w:rsid w:val="00936209"/>
    <w:rsid w:val="00942D8C"/>
    <w:rsid w:val="009439DD"/>
    <w:rsid w:val="0094409B"/>
    <w:rsid w:val="009443F6"/>
    <w:rsid w:val="009659A3"/>
    <w:rsid w:val="00972E10"/>
    <w:rsid w:val="00973B12"/>
    <w:rsid w:val="00981D9D"/>
    <w:rsid w:val="00986872"/>
    <w:rsid w:val="00992BA6"/>
    <w:rsid w:val="009B590C"/>
    <w:rsid w:val="009D29B0"/>
    <w:rsid w:val="009D346B"/>
    <w:rsid w:val="009D7B49"/>
    <w:rsid w:val="009E157F"/>
    <w:rsid w:val="009E73FD"/>
    <w:rsid w:val="009F265F"/>
    <w:rsid w:val="009F6B32"/>
    <w:rsid w:val="00A07BE3"/>
    <w:rsid w:val="00A20994"/>
    <w:rsid w:val="00A25BC1"/>
    <w:rsid w:val="00A43553"/>
    <w:rsid w:val="00A55A75"/>
    <w:rsid w:val="00A62B41"/>
    <w:rsid w:val="00A725DC"/>
    <w:rsid w:val="00A8284B"/>
    <w:rsid w:val="00A8778B"/>
    <w:rsid w:val="00A95167"/>
    <w:rsid w:val="00AA2B3B"/>
    <w:rsid w:val="00AA2BE0"/>
    <w:rsid w:val="00AA4472"/>
    <w:rsid w:val="00AA5A4E"/>
    <w:rsid w:val="00AB47A2"/>
    <w:rsid w:val="00AC247B"/>
    <w:rsid w:val="00AC2C98"/>
    <w:rsid w:val="00AD1654"/>
    <w:rsid w:val="00AD5446"/>
    <w:rsid w:val="00AD5920"/>
    <w:rsid w:val="00AE199C"/>
    <w:rsid w:val="00B052CD"/>
    <w:rsid w:val="00B07D2D"/>
    <w:rsid w:val="00B11A9D"/>
    <w:rsid w:val="00B11F7B"/>
    <w:rsid w:val="00B12D9E"/>
    <w:rsid w:val="00B17C91"/>
    <w:rsid w:val="00B21ADC"/>
    <w:rsid w:val="00B37BD1"/>
    <w:rsid w:val="00B4421F"/>
    <w:rsid w:val="00B45394"/>
    <w:rsid w:val="00B6027C"/>
    <w:rsid w:val="00B60FC4"/>
    <w:rsid w:val="00B71D32"/>
    <w:rsid w:val="00B92EA8"/>
    <w:rsid w:val="00B96722"/>
    <w:rsid w:val="00BA29DB"/>
    <w:rsid w:val="00BA39E8"/>
    <w:rsid w:val="00BA444C"/>
    <w:rsid w:val="00BC0F3D"/>
    <w:rsid w:val="00BC11AA"/>
    <w:rsid w:val="00BC2570"/>
    <w:rsid w:val="00BD46C8"/>
    <w:rsid w:val="00BD5E15"/>
    <w:rsid w:val="00BF04E2"/>
    <w:rsid w:val="00BF14B6"/>
    <w:rsid w:val="00BF2499"/>
    <w:rsid w:val="00BF430E"/>
    <w:rsid w:val="00BF4455"/>
    <w:rsid w:val="00C04BB6"/>
    <w:rsid w:val="00C11645"/>
    <w:rsid w:val="00C13AD3"/>
    <w:rsid w:val="00C207CA"/>
    <w:rsid w:val="00C24760"/>
    <w:rsid w:val="00C26074"/>
    <w:rsid w:val="00C353D5"/>
    <w:rsid w:val="00C5014D"/>
    <w:rsid w:val="00C52ED0"/>
    <w:rsid w:val="00C54BC5"/>
    <w:rsid w:val="00C54FB2"/>
    <w:rsid w:val="00C65D88"/>
    <w:rsid w:val="00C75387"/>
    <w:rsid w:val="00C77CE3"/>
    <w:rsid w:val="00C83B0A"/>
    <w:rsid w:val="00C92162"/>
    <w:rsid w:val="00C94824"/>
    <w:rsid w:val="00CA3791"/>
    <w:rsid w:val="00CB4CFB"/>
    <w:rsid w:val="00CC3BFE"/>
    <w:rsid w:val="00CC3F7B"/>
    <w:rsid w:val="00CC7DB2"/>
    <w:rsid w:val="00CD0BD6"/>
    <w:rsid w:val="00CE09EF"/>
    <w:rsid w:val="00CE1907"/>
    <w:rsid w:val="00CE1E0C"/>
    <w:rsid w:val="00CE277E"/>
    <w:rsid w:val="00D01958"/>
    <w:rsid w:val="00D0774D"/>
    <w:rsid w:val="00D15D3E"/>
    <w:rsid w:val="00D31AD0"/>
    <w:rsid w:val="00D356AC"/>
    <w:rsid w:val="00D45E0D"/>
    <w:rsid w:val="00D54194"/>
    <w:rsid w:val="00D56867"/>
    <w:rsid w:val="00D65C59"/>
    <w:rsid w:val="00D66629"/>
    <w:rsid w:val="00DA1CB1"/>
    <w:rsid w:val="00DB45E2"/>
    <w:rsid w:val="00DB5DD4"/>
    <w:rsid w:val="00DB6E0E"/>
    <w:rsid w:val="00DC19FC"/>
    <w:rsid w:val="00DC6844"/>
    <w:rsid w:val="00DC7251"/>
    <w:rsid w:val="00DE5A74"/>
    <w:rsid w:val="00DF135C"/>
    <w:rsid w:val="00DF3AB7"/>
    <w:rsid w:val="00DF5C6C"/>
    <w:rsid w:val="00DF7CCC"/>
    <w:rsid w:val="00E017DD"/>
    <w:rsid w:val="00E02A7F"/>
    <w:rsid w:val="00E04433"/>
    <w:rsid w:val="00E07880"/>
    <w:rsid w:val="00E10BE9"/>
    <w:rsid w:val="00E14F0C"/>
    <w:rsid w:val="00E20E35"/>
    <w:rsid w:val="00E2251D"/>
    <w:rsid w:val="00E35B27"/>
    <w:rsid w:val="00E47518"/>
    <w:rsid w:val="00E601F3"/>
    <w:rsid w:val="00E611F3"/>
    <w:rsid w:val="00E66936"/>
    <w:rsid w:val="00E753E6"/>
    <w:rsid w:val="00E75A19"/>
    <w:rsid w:val="00E82621"/>
    <w:rsid w:val="00E82AA9"/>
    <w:rsid w:val="00E85E2F"/>
    <w:rsid w:val="00EB023B"/>
    <w:rsid w:val="00EB2BD1"/>
    <w:rsid w:val="00EC01EC"/>
    <w:rsid w:val="00ED38B4"/>
    <w:rsid w:val="00EE2F85"/>
    <w:rsid w:val="00EE53BC"/>
    <w:rsid w:val="00F01BEC"/>
    <w:rsid w:val="00F030E4"/>
    <w:rsid w:val="00F30422"/>
    <w:rsid w:val="00F370D1"/>
    <w:rsid w:val="00F41F1B"/>
    <w:rsid w:val="00F51B27"/>
    <w:rsid w:val="00F5233C"/>
    <w:rsid w:val="00F721D8"/>
    <w:rsid w:val="00F77C9A"/>
    <w:rsid w:val="00F9402A"/>
    <w:rsid w:val="00F942DA"/>
    <w:rsid w:val="00F9792E"/>
    <w:rsid w:val="00FB2570"/>
    <w:rsid w:val="00FB576C"/>
    <w:rsid w:val="00FD2AA6"/>
    <w:rsid w:val="00FD5A2A"/>
    <w:rsid w:val="00FE4DEE"/>
    <w:rsid w:val="00FE7D61"/>
    <w:rsid w:val="00FE7E8A"/>
    <w:rsid w:val="00FF477D"/>
    <w:rsid w:val="01053AE8"/>
    <w:rsid w:val="0D937189"/>
    <w:rsid w:val="0F4A7D3F"/>
    <w:rsid w:val="137E2B39"/>
    <w:rsid w:val="16D41C0E"/>
    <w:rsid w:val="19A2504A"/>
    <w:rsid w:val="19BE3706"/>
    <w:rsid w:val="1AD97324"/>
    <w:rsid w:val="1B310649"/>
    <w:rsid w:val="1BA004BA"/>
    <w:rsid w:val="1BAC7F86"/>
    <w:rsid w:val="21271E30"/>
    <w:rsid w:val="22A70FE7"/>
    <w:rsid w:val="25901ED5"/>
    <w:rsid w:val="26311933"/>
    <w:rsid w:val="27EE2B60"/>
    <w:rsid w:val="2A520044"/>
    <w:rsid w:val="2EF052B2"/>
    <w:rsid w:val="308675AA"/>
    <w:rsid w:val="308C1972"/>
    <w:rsid w:val="3476497C"/>
    <w:rsid w:val="3B6F6016"/>
    <w:rsid w:val="3BA713EC"/>
    <w:rsid w:val="3E6E32C4"/>
    <w:rsid w:val="4BEC1766"/>
    <w:rsid w:val="4C224BFA"/>
    <w:rsid w:val="4F891FE9"/>
    <w:rsid w:val="50052A51"/>
    <w:rsid w:val="52133DDD"/>
    <w:rsid w:val="56290889"/>
    <w:rsid w:val="56A3467A"/>
    <w:rsid w:val="5A522FD2"/>
    <w:rsid w:val="60387B56"/>
    <w:rsid w:val="62A10094"/>
    <w:rsid w:val="6A1C6093"/>
    <w:rsid w:val="6B531497"/>
    <w:rsid w:val="6F52663A"/>
    <w:rsid w:val="755271FF"/>
    <w:rsid w:val="7E8965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lock Text" w:semiHidden="0" w:unhideWhenUsed="0" w:qFormat="1"/>
    <w:lsdException w:name="Strong" w:semiHidden="0" w:uiPriority="22" w:unhideWhenUsed="0" w:qFormat="1"/>
    <w:lsdException w:name="Emphasis" w:semiHidden="0" w:uiPriority="20" w:unhideWhenUsed="0" w:qFormat="1"/>
    <w:lsdException w:name="annotation subject" w:qFormat="1"/>
    <w:lsdException w:name="Balloon Text"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340CC8"/>
    <w:rPr>
      <w:b/>
      <w:bCs/>
    </w:rPr>
  </w:style>
  <w:style w:type="paragraph" w:styleId="a4">
    <w:name w:val="annotation text"/>
    <w:basedOn w:val="a"/>
    <w:link w:val="Char0"/>
    <w:uiPriority w:val="99"/>
    <w:unhideWhenUsed/>
    <w:qFormat/>
    <w:rsid w:val="00340CC8"/>
    <w:pPr>
      <w:jc w:val="left"/>
    </w:pPr>
  </w:style>
  <w:style w:type="paragraph" w:styleId="a5">
    <w:name w:val="Block Text"/>
    <w:basedOn w:val="a"/>
    <w:uiPriority w:val="99"/>
    <w:qFormat/>
    <w:rsid w:val="00340CC8"/>
    <w:pPr>
      <w:widowControl/>
      <w:spacing w:before="100" w:beforeAutospacing="1" w:after="100" w:afterAutospacing="1"/>
      <w:jc w:val="left"/>
    </w:pPr>
    <w:rPr>
      <w:rFonts w:ascii="宋体" w:hAnsi="宋体" w:cs="宋体"/>
      <w:kern w:val="0"/>
      <w:sz w:val="24"/>
    </w:rPr>
  </w:style>
  <w:style w:type="paragraph" w:styleId="a6">
    <w:name w:val="Date"/>
    <w:basedOn w:val="a"/>
    <w:next w:val="a"/>
    <w:link w:val="Char1"/>
    <w:uiPriority w:val="99"/>
    <w:unhideWhenUsed/>
    <w:qFormat/>
    <w:rsid w:val="00340CC8"/>
    <w:pPr>
      <w:ind w:leftChars="2500" w:left="100"/>
    </w:pPr>
  </w:style>
  <w:style w:type="paragraph" w:styleId="a7">
    <w:name w:val="Balloon Text"/>
    <w:basedOn w:val="a"/>
    <w:link w:val="Char2"/>
    <w:uiPriority w:val="99"/>
    <w:unhideWhenUsed/>
    <w:qFormat/>
    <w:rsid w:val="00340CC8"/>
    <w:rPr>
      <w:sz w:val="18"/>
      <w:szCs w:val="18"/>
    </w:rPr>
  </w:style>
  <w:style w:type="paragraph" w:styleId="a8">
    <w:name w:val="footer"/>
    <w:basedOn w:val="a"/>
    <w:link w:val="Char3"/>
    <w:uiPriority w:val="99"/>
    <w:unhideWhenUsed/>
    <w:qFormat/>
    <w:rsid w:val="00340CC8"/>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340CC8"/>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rsid w:val="00340CC8"/>
  </w:style>
  <w:style w:type="character" w:styleId="ab">
    <w:name w:val="annotation reference"/>
    <w:uiPriority w:val="99"/>
    <w:unhideWhenUsed/>
    <w:qFormat/>
    <w:rsid w:val="00340CC8"/>
    <w:rPr>
      <w:sz w:val="21"/>
      <w:szCs w:val="21"/>
    </w:rPr>
  </w:style>
  <w:style w:type="table" w:styleId="ac">
    <w:name w:val="Table Grid"/>
    <w:basedOn w:val="a1"/>
    <w:uiPriority w:val="99"/>
    <w:unhideWhenUsed/>
    <w:qFormat/>
    <w:rsid w:val="00340C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ighlight">
    <w:name w:val="highlight"/>
    <w:basedOn w:val="a0"/>
    <w:qFormat/>
    <w:rsid w:val="00340CC8"/>
  </w:style>
  <w:style w:type="character" w:customStyle="1" w:styleId="Char1">
    <w:name w:val="日期 Char"/>
    <w:link w:val="a6"/>
    <w:uiPriority w:val="99"/>
    <w:semiHidden/>
    <w:qFormat/>
    <w:rsid w:val="00340CC8"/>
    <w:rPr>
      <w:kern w:val="2"/>
      <w:sz w:val="21"/>
      <w:szCs w:val="24"/>
    </w:rPr>
  </w:style>
  <w:style w:type="character" w:customStyle="1" w:styleId="Char3">
    <w:name w:val="页脚 Char"/>
    <w:link w:val="a8"/>
    <w:uiPriority w:val="99"/>
    <w:qFormat/>
    <w:rsid w:val="00340CC8"/>
    <w:rPr>
      <w:kern w:val="2"/>
      <w:sz w:val="18"/>
      <w:szCs w:val="18"/>
    </w:rPr>
  </w:style>
  <w:style w:type="character" w:customStyle="1" w:styleId="Char0">
    <w:name w:val="批注文字 Char"/>
    <w:link w:val="a4"/>
    <w:uiPriority w:val="99"/>
    <w:semiHidden/>
    <w:qFormat/>
    <w:rsid w:val="00340CC8"/>
    <w:rPr>
      <w:kern w:val="2"/>
      <w:sz w:val="21"/>
      <w:szCs w:val="24"/>
    </w:rPr>
  </w:style>
  <w:style w:type="character" w:customStyle="1" w:styleId="Char4">
    <w:name w:val="页眉 Char"/>
    <w:link w:val="a9"/>
    <w:uiPriority w:val="99"/>
    <w:semiHidden/>
    <w:qFormat/>
    <w:rsid w:val="00340CC8"/>
    <w:rPr>
      <w:kern w:val="2"/>
      <w:sz w:val="18"/>
      <w:szCs w:val="18"/>
    </w:rPr>
  </w:style>
  <w:style w:type="character" w:customStyle="1" w:styleId="Char2">
    <w:name w:val="批注框文本 Char"/>
    <w:link w:val="a7"/>
    <w:uiPriority w:val="99"/>
    <w:semiHidden/>
    <w:qFormat/>
    <w:rsid w:val="00340CC8"/>
    <w:rPr>
      <w:kern w:val="2"/>
      <w:sz w:val="18"/>
      <w:szCs w:val="18"/>
    </w:rPr>
  </w:style>
  <w:style w:type="paragraph" w:customStyle="1" w:styleId="1">
    <w:name w:val="列出段落1"/>
    <w:basedOn w:val="a"/>
    <w:uiPriority w:val="34"/>
    <w:qFormat/>
    <w:rsid w:val="00340CC8"/>
    <w:pPr>
      <w:ind w:firstLineChars="200" w:firstLine="420"/>
    </w:pPr>
    <w:rPr>
      <w:rFonts w:ascii="Calibri" w:hAnsi="Calibri"/>
      <w:szCs w:val="22"/>
    </w:rPr>
  </w:style>
  <w:style w:type="character" w:customStyle="1" w:styleId="Char">
    <w:name w:val="批注主题 Char"/>
    <w:basedOn w:val="Char0"/>
    <w:link w:val="a3"/>
    <w:uiPriority w:val="99"/>
    <w:semiHidden/>
    <w:qFormat/>
    <w:rsid w:val="00340CC8"/>
    <w:rPr>
      <w:b/>
      <w:bCs/>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267</Words>
  <Characters>1523</Characters>
  <Application>Microsoft Office Word</Application>
  <DocSecurity>0</DocSecurity>
  <Lines>12</Lines>
  <Paragraphs>3</Paragraphs>
  <ScaleCrop>false</ScaleCrop>
  <Company>Legend (Beijing) Limited</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××产品质量监督抽查实施细则</dc:title>
  <dc:creator>Legend User</dc:creator>
  <cp:lastModifiedBy>lenovo</cp:lastModifiedBy>
  <cp:revision>4</cp:revision>
  <cp:lastPrinted>2019-12-05T07:53:00Z</cp:lastPrinted>
  <dcterms:created xsi:type="dcterms:W3CDTF">2020-06-12T02:52:00Z</dcterms:created>
  <dcterms:modified xsi:type="dcterms:W3CDTF">2020-09-01T10:04:00Z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