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E9" w:rsidRDefault="004D06E9">
      <w:pPr>
        <w:spacing w:line="360" w:lineRule="auto"/>
        <w:jc w:val="center"/>
        <w:rPr>
          <w:rFonts w:eastAsia="黑体"/>
          <w:color w:val="000000"/>
          <w:spacing w:val="20"/>
          <w:w w:val="105"/>
          <w:sz w:val="52"/>
          <w:szCs w:val="52"/>
        </w:rPr>
      </w:pPr>
      <w:r w:rsidRPr="004D06E9">
        <w:rPr>
          <w:rFonts w:eastAsia="黑体"/>
          <w:color w:val="000000"/>
          <w:spacing w:val="20"/>
          <w:w w:val="105"/>
          <w:sz w:val="52"/>
          <w:szCs w:val="52"/>
        </w:rPr>
        <w:pict>
          <v:line id="_x0000_s1032" style="position:absolute;left:0;text-align:left;flip:y;z-index:251662336" from="2.25pt,44.85pt" to="411.25pt,46.65pt" strokeweight=".5pt"/>
        </w:pict>
      </w:r>
      <w:r w:rsidR="009F348E">
        <w:rPr>
          <w:rFonts w:eastAsia="黑体"/>
          <w:color w:val="000000"/>
          <w:spacing w:val="20"/>
          <w:w w:val="105"/>
          <w:sz w:val="52"/>
          <w:szCs w:val="52"/>
        </w:rPr>
        <w:t>产品质量监督抽查实施细则</w:t>
      </w:r>
    </w:p>
    <w:p w:rsidR="004D06E9" w:rsidRDefault="004D06E9">
      <w:pPr>
        <w:adjustRightInd w:val="0"/>
        <w:spacing w:line="480" w:lineRule="exact"/>
        <w:rPr>
          <w:rFonts w:eastAsia="黑体"/>
          <w:color w:val="000000"/>
          <w:sz w:val="32"/>
          <w:szCs w:val="32"/>
          <w:u w:val="single"/>
        </w:rPr>
      </w:pPr>
    </w:p>
    <w:p w:rsidR="004D06E9" w:rsidRDefault="004D06E9">
      <w:pPr>
        <w:adjustRightInd w:val="0"/>
        <w:spacing w:line="480" w:lineRule="exact"/>
        <w:jc w:val="center"/>
        <w:rPr>
          <w:rFonts w:eastAsia="黑体"/>
          <w:b/>
          <w:color w:val="000000"/>
          <w:sz w:val="32"/>
          <w:szCs w:val="32"/>
        </w:rPr>
      </w:pPr>
    </w:p>
    <w:p w:rsidR="004D06E9" w:rsidRDefault="004D06E9">
      <w:pPr>
        <w:adjustRightInd w:val="0"/>
        <w:spacing w:line="480" w:lineRule="exact"/>
        <w:jc w:val="center"/>
        <w:rPr>
          <w:rFonts w:eastAsia="黑体"/>
          <w:b/>
          <w:color w:val="000000"/>
          <w:sz w:val="52"/>
          <w:szCs w:val="52"/>
        </w:rPr>
      </w:pPr>
    </w:p>
    <w:p w:rsidR="004D06E9" w:rsidRDefault="004D06E9">
      <w:pPr>
        <w:adjustRightInd w:val="0"/>
        <w:spacing w:line="480" w:lineRule="exact"/>
        <w:jc w:val="center"/>
        <w:rPr>
          <w:rFonts w:eastAsia="黑体"/>
          <w:b/>
          <w:color w:val="000000"/>
          <w:sz w:val="52"/>
          <w:szCs w:val="52"/>
        </w:rPr>
      </w:pPr>
    </w:p>
    <w:p w:rsidR="004D06E9" w:rsidRDefault="004D06E9">
      <w:pPr>
        <w:adjustRightInd w:val="0"/>
        <w:spacing w:line="480" w:lineRule="exact"/>
        <w:jc w:val="center"/>
        <w:rPr>
          <w:rFonts w:eastAsia="黑体"/>
          <w:b/>
          <w:color w:val="000000"/>
          <w:sz w:val="52"/>
          <w:szCs w:val="52"/>
        </w:rPr>
      </w:pPr>
    </w:p>
    <w:p w:rsidR="004D06E9" w:rsidRDefault="004D06E9">
      <w:pPr>
        <w:adjustRightInd w:val="0"/>
        <w:spacing w:line="480" w:lineRule="exact"/>
        <w:jc w:val="center"/>
        <w:rPr>
          <w:rFonts w:eastAsia="黑体"/>
          <w:b/>
          <w:color w:val="000000"/>
          <w:sz w:val="52"/>
          <w:szCs w:val="52"/>
        </w:rPr>
      </w:pPr>
    </w:p>
    <w:p w:rsidR="004D06E9" w:rsidRDefault="004D06E9">
      <w:pPr>
        <w:adjustRightInd w:val="0"/>
        <w:spacing w:line="480" w:lineRule="exact"/>
        <w:jc w:val="center"/>
        <w:rPr>
          <w:rFonts w:eastAsia="黑体"/>
          <w:b/>
          <w:color w:val="000000"/>
          <w:sz w:val="52"/>
          <w:szCs w:val="52"/>
        </w:rPr>
      </w:pPr>
    </w:p>
    <w:p w:rsidR="004D06E9" w:rsidRDefault="004D06E9">
      <w:pPr>
        <w:adjustRightInd w:val="0"/>
        <w:spacing w:line="480" w:lineRule="exact"/>
        <w:jc w:val="center"/>
        <w:rPr>
          <w:rFonts w:eastAsia="黑体"/>
          <w:b/>
          <w:color w:val="000000"/>
          <w:sz w:val="52"/>
          <w:szCs w:val="52"/>
        </w:rPr>
      </w:pPr>
    </w:p>
    <w:p w:rsidR="004D06E9" w:rsidRDefault="004D06E9">
      <w:pPr>
        <w:adjustRightInd w:val="0"/>
        <w:spacing w:line="480" w:lineRule="exact"/>
        <w:jc w:val="center"/>
        <w:rPr>
          <w:rFonts w:eastAsia="黑体"/>
          <w:b/>
          <w:color w:val="000000"/>
          <w:sz w:val="52"/>
          <w:szCs w:val="52"/>
        </w:rPr>
      </w:pPr>
    </w:p>
    <w:p w:rsidR="004D06E9" w:rsidRDefault="004D06E9">
      <w:pPr>
        <w:adjustRightInd w:val="0"/>
        <w:spacing w:line="480" w:lineRule="exact"/>
        <w:jc w:val="center"/>
        <w:rPr>
          <w:rFonts w:eastAsia="黑体"/>
          <w:b/>
          <w:color w:val="000000"/>
          <w:sz w:val="52"/>
          <w:szCs w:val="52"/>
        </w:rPr>
      </w:pPr>
    </w:p>
    <w:p w:rsidR="004D06E9" w:rsidRDefault="009F348E">
      <w:pPr>
        <w:spacing w:line="600" w:lineRule="exact"/>
        <w:jc w:val="center"/>
        <w:rPr>
          <w:rFonts w:eastAsia="黑体"/>
          <w:b/>
          <w:bCs/>
          <w:sz w:val="44"/>
          <w:szCs w:val="44"/>
        </w:rPr>
      </w:pPr>
      <w:r>
        <w:rPr>
          <w:rFonts w:eastAsia="黑体"/>
          <w:b/>
          <w:bCs/>
          <w:sz w:val="44"/>
          <w:szCs w:val="44"/>
        </w:rPr>
        <w:t>2020</w:t>
      </w:r>
      <w:r>
        <w:rPr>
          <w:rFonts w:eastAsia="黑体"/>
          <w:b/>
          <w:bCs/>
          <w:sz w:val="44"/>
          <w:szCs w:val="44"/>
        </w:rPr>
        <w:t>年新疆生产建设兵团保温材料</w:t>
      </w:r>
    </w:p>
    <w:p w:rsidR="004D06E9" w:rsidRDefault="009F348E">
      <w:pPr>
        <w:spacing w:line="600" w:lineRule="exact"/>
        <w:jc w:val="center"/>
        <w:rPr>
          <w:rFonts w:eastAsia="黑体"/>
          <w:b/>
          <w:bCs/>
          <w:sz w:val="44"/>
          <w:szCs w:val="44"/>
        </w:rPr>
      </w:pPr>
      <w:r>
        <w:rPr>
          <w:rFonts w:eastAsia="黑体"/>
          <w:b/>
          <w:bCs/>
          <w:sz w:val="44"/>
          <w:szCs w:val="44"/>
        </w:rPr>
        <w:t>产品质量监督抽查实施细则</w:t>
      </w:r>
    </w:p>
    <w:p w:rsidR="004D06E9" w:rsidRDefault="004D06E9">
      <w:pPr>
        <w:adjustRightInd w:val="0"/>
        <w:spacing w:line="480" w:lineRule="exact"/>
        <w:jc w:val="center"/>
        <w:rPr>
          <w:rFonts w:eastAsia="黑体"/>
          <w:color w:val="000000"/>
          <w:sz w:val="52"/>
          <w:szCs w:val="52"/>
        </w:rPr>
      </w:pPr>
    </w:p>
    <w:p w:rsidR="004D06E9" w:rsidRDefault="004D06E9">
      <w:pPr>
        <w:adjustRightInd w:val="0"/>
        <w:spacing w:line="480" w:lineRule="exact"/>
        <w:jc w:val="center"/>
        <w:rPr>
          <w:rFonts w:eastAsia="黑体"/>
          <w:color w:val="000000"/>
          <w:sz w:val="52"/>
          <w:szCs w:val="52"/>
        </w:rPr>
      </w:pPr>
    </w:p>
    <w:p w:rsidR="004D06E9" w:rsidRDefault="004D06E9">
      <w:pPr>
        <w:adjustRightInd w:val="0"/>
        <w:spacing w:line="480" w:lineRule="exact"/>
        <w:jc w:val="center"/>
        <w:rPr>
          <w:rFonts w:eastAsia="黑体"/>
          <w:b/>
          <w:color w:val="000000"/>
          <w:sz w:val="52"/>
          <w:szCs w:val="52"/>
        </w:rPr>
      </w:pPr>
    </w:p>
    <w:p w:rsidR="004D06E9" w:rsidRDefault="004D06E9">
      <w:pPr>
        <w:adjustRightInd w:val="0"/>
        <w:spacing w:line="480" w:lineRule="exact"/>
        <w:jc w:val="center"/>
        <w:rPr>
          <w:rFonts w:eastAsia="黑体"/>
          <w:b/>
          <w:color w:val="000000"/>
          <w:sz w:val="52"/>
          <w:szCs w:val="52"/>
        </w:rPr>
      </w:pPr>
    </w:p>
    <w:p w:rsidR="004D06E9" w:rsidRDefault="004D06E9">
      <w:pPr>
        <w:adjustRightInd w:val="0"/>
        <w:spacing w:line="480" w:lineRule="exact"/>
        <w:jc w:val="center"/>
        <w:rPr>
          <w:rFonts w:eastAsia="黑体"/>
          <w:b/>
          <w:color w:val="000000"/>
          <w:sz w:val="52"/>
          <w:szCs w:val="52"/>
        </w:rPr>
      </w:pPr>
      <w:r w:rsidRPr="004D06E9">
        <w:rPr>
          <w:rFonts w:eastAsia="黑体"/>
          <w:color w:val="000000"/>
          <w:spacing w:val="20"/>
          <w:sz w:val="52"/>
          <w:szCs w:val="52"/>
        </w:rPr>
        <w:pict>
          <v:shapetype id="_x0000_t202" coordsize="21600,21600" o:spt="202" path="m,l,21600r21600,l21600,xe">
            <v:stroke joinstyle="miter"/>
            <v:path gradientshapeok="t" o:connecttype="rect"/>
          </v:shapetype>
          <v:shape id="_x0000_s1030" type="#_x0000_t202" style="position:absolute;left:0;text-align:left;margin-left:-140pt;margin-top:-564.8pt;width:50pt;height:50pt;z-index:251659264">
            <v:textbox>
              <w:txbxContent>
                <w:p w:rsidR="004D06E9" w:rsidRDefault="004D06E9"/>
              </w:txbxContent>
            </v:textbox>
          </v:shape>
        </w:pict>
      </w:r>
      <w:r w:rsidRPr="004D06E9">
        <w:rPr>
          <w:color w:val="000000"/>
        </w:rPr>
        <w:pict>
          <v:shape id="_x0000_s1026" type="#_x0000_t202" style="position:absolute;left:0;text-align:left;margin-left:189pt;margin-top:508.8pt;width:113.4pt;height:15.6pt;z-index:251656192;mso-position-horizontal-relative:page;mso-position-vertical-relative:page" stroked="f" strokecolor="#f60">
            <v:textbox inset="0,0,0,0">
              <w:txbxContent>
                <w:p w:rsidR="004D06E9" w:rsidRDefault="004D06E9"/>
              </w:txbxContent>
            </v:textbox>
            <w10:wrap anchorx="page" anchory="page"/>
          </v:shape>
        </w:pict>
      </w:r>
      <w:r w:rsidRPr="004D06E9">
        <w:rPr>
          <w:color w:val="000000"/>
        </w:rPr>
        <w:pict>
          <v:shape id="_x0000_s1027" type="#_x0000_t202" style="position:absolute;left:0;text-align:left;margin-left:4in;margin-top:540.6pt;width:113.4pt;height:15.6pt;z-index:251657216;mso-position-horizontal-relative:page;mso-position-vertical-relative:page" stroked="f" strokecolor="#f60">
            <v:textbox inset="0,0,0,0">
              <w:txbxContent>
                <w:p w:rsidR="004D06E9" w:rsidRDefault="004D06E9"/>
              </w:txbxContent>
            </v:textbox>
            <w10:wrap anchorx="page" anchory="page"/>
          </v:shape>
        </w:pict>
      </w:r>
    </w:p>
    <w:p w:rsidR="004D06E9" w:rsidRDefault="004D06E9">
      <w:pPr>
        <w:adjustRightInd w:val="0"/>
        <w:spacing w:line="480" w:lineRule="exact"/>
        <w:jc w:val="center"/>
        <w:rPr>
          <w:rFonts w:eastAsia="黑体"/>
          <w:b/>
          <w:color w:val="000000"/>
          <w:sz w:val="52"/>
          <w:szCs w:val="52"/>
        </w:rPr>
      </w:pPr>
    </w:p>
    <w:p w:rsidR="004D06E9" w:rsidRDefault="004D06E9">
      <w:pPr>
        <w:adjustRightInd w:val="0"/>
        <w:spacing w:line="480" w:lineRule="exact"/>
        <w:jc w:val="center"/>
        <w:rPr>
          <w:rFonts w:eastAsia="黑体"/>
          <w:b/>
          <w:color w:val="000000"/>
          <w:sz w:val="52"/>
          <w:szCs w:val="52"/>
        </w:rPr>
      </w:pPr>
    </w:p>
    <w:p w:rsidR="004D06E9" w:rsidRDefault="004D06E9">
      <w:pPr>
        <w:adjustRightInd w:val="0"/>
        <w:spacing w:line="480" w:lineRule="exact"/>
        <w:rPr>
          <w:rFonts w:eastAsia="黑体"/>
          <w:color w:val="000000"/>
          <w:sz w:val="32"/>
          <w:szCs w:val="32"/>
          <w:u w:val="single"/>
        </w:rPr>
      </w:pPr>
    </w:p>
    <w:p w:rsidR="004D06E9" w:rsidRDefault="004D06E9">
      <w:pPr>
        <w:adjustRightInd w:val="0"/>
        <w:spacing w:line="480" w:lineRule="exact"/>
        <w:rPr>
          <w:rFonts w:eastAsia="黑体"/>
          <w:color w:val="000000"/>
          <w:sz w:val="32"/>
          <w:szCs w:val="32"/>
          <w:u w:val="single"/>
        </w:rPr>
      </w:pPr>
    </w:p>
    <w:p w:rsidR="004D06E9" w:rsidRDefault="004D06E9">
      <w:pPr>
        <w:adjustRightInd w:val="0"/>
        <w:spacing w:line="480" w:lineRule="exact"/>
        <w:rPr>
          <w:rFonts w:eastAsia="黑体"/>
          <w:color w:val="000000"/>
          <w:sz w:val="32"/>
          <w:szCs w:val="32"/>
          <w:u w:val="single"/>
        </w:rPr>
      </w:pPr>
    </w:p>
    <w:p w:rsidR="004D06E9" w:rsidRDefault="004D06E9">
      <w:pPr>
        <w:adjustRightInd w:val="0"/>
        <w:spacing w:line="480" w:lineRule="exact"/>
        <w:rPr>
          <w:rFonts w:eastAsia="黑体"/>
          <w:color w:val="000000"/>
          <w:sz w:val="32"/>
          <w:szCs w:val="32"/>
          <w:u w:val="single"/>
        </w:rPr>
      </w:pPr>
    </w:p>
    <w:p w:rsidR="004D06E9" w:rsidRDefault="004D06E9">
      <w:pPr>
        <w:adjustRightInd w:val="0"/>
        <w:spacing w:line="480" w:lineRule="exact"/>
        <w:rPr>
          <w:rFonts w:eastAsia="黑体"/>
          <w:color w:val="000000"/>
          <w:sz w:val="32"/>
          <w:szCs w:val="32"/>
          <w:u w:val="single"/>
        </w:rPr>
      </w:pPr>
    </w:p>
    <w:p w:rsidR="004D06E9" w:rsidRDefault="004D06E9">
      <w:pPr>
        <w:adjustRightInd w:val="0"/>
        <w:spacing w:line="480" w:lineRule="exact"/>
        <w:ind w:rightChars="-330" w:right="-693"/>
        <w:rPr>
          <w:rFonts w:eastAsia="黑体"/>
          <w:color w:val="000000"/>
          <w:sz w:val="28"/>
          <w:szCs w:val="28"/>
          <w:u w:val="single"/>
        </w:rPr>
      </w:pPr>
      <w:r w:rsidRPr="004D06E9">
        <w:rPr>
          <w:rFonts w:eastAsia="黑体"/>
          <w:sz w:val="24"/>
        </w:rPr>
        <w:pict>
          <v:line id="直线 19" o:spid="_x0000_s1029" style="position:absolute;left:0;text-align:left;flip:y;z-index:251658240" from="0,20.6pt" to="415.4pt,20.8pt" strokeweight=".5pt"/>
        </w:pict>
      </w:r>
      <w:r w:rsidR="009F348E">
        <w:rPr>
          <w:rFonts w:eastAsia="黑体"/>
          <w:sz w:val="24"/>
        </w:rPr>
        <w:t>2020-</w:t>
      </w:r>
      <w:r w:rsidR="0034681A">
        <w:rPr>
          <w:rFonts w:eastAsia="黑体"/>
          <w:sz w:val="24"/>
        </w:rPr>
        <w:t>0</w:t>
      </w:r>
      <w:r w:rsidR="0034681A">
        <w:rPr>
          <w:rFonts w:eastAsia="黑体" w:hint="eastAsia"/>
          <w:sz w:val="24"/>
        </w:rPr>
        <w:t>9</w:t>
      </w:r>
      <w:r w:rsidR="009F348E">
        <w:rPr>
          <w:rFonts w:eastAsia="黑体"/>
          <w:sz w:val="24"/>
        </w:rPr>
        <w:t>-</w:t>
      </w:r>
      <w:r w:rsidR="009F348E">
        <w:rPr>
          <w:rFonts w:eastAsia="黑体" w:hint="eastAsia"/>
          <w:sz w:val="24"/>
        </w:rPr>
        <w:t>发布</w:t>
      </w:r>
      <w:r w:rsidR="009F348E">
        <w:rPr>
          <w:rFonts w:eastAsia="黑体"/>
          <w:sz w:val="24"/>
        </w:rPr>
        <w:t xml:space="preserve">                                         2020-</w:t>
      </w:r>
      <w:r w:rsidR="0034681A">
        <w:rPr>
          <w:rFonts w:eastAsia="黑体"/>
          <w:sz w:val="24"/>
        </w:rPr>
        <w:t>0</w:t>
      </w:r>
      <w:r w:rsidR="0034681A">
        <w:rPr>
          <w:rFonts w:eastAsia="黑体" w:hint="eastAsia"/>
          <w:sz w:val="24"/>
        </w:rPr>
        <w:t>9</w:t>
      </w:r>
      <w:r w:rsidR="009F348E">
        <w:rPr>
          <w:rFonts w:eastAsia="黑体"/>
          <w:sz w:val="24"/>
        </w:rPr>
        <w:t>-</w:t>
      </w:r>
      <w:r w:rsidR="009F348E">
        <w:rPr>
          <w:rFonts w:eastAsia="黑体" w:hint="eastAsia"/>
          <w:sz w:val="24"/>
        </w:rPr>
        <w:t>实施</w:t>
      </w:r>
    </w:p>
    <w:p w:rsidR="004D06E9" w:rsidRDefault="009F348E">
      <w:pPr>
        <w:adjustRightInd w:val="0"/>
        <w:spacing w:line="480" w:lineRule="exact"/>
        <w:ind w:rightChars="-159" w:right="-334"/>
        <w:jc w:val="center"/>
        <w:rPr>
          <w:rFonts w:eastAsia="黑体"/>
          <w:color w:val="000000"/>
          <w:sz w:val="36"/>
          <w:szCs w:val="36"/>
        </w:rPr>
      </w:pPr>
      <w:r>
        <w:rPr>
          <w:rFonts w:eastAsia="黑体"/>
          <w:color w:val="000000"/>
          <w:sz w:val="32"/>
          <w:szCs w:val="32"/>
        </w:rPr>
        <w:t>新疆生产建设兵团市场监督管理局</w:t>
      </w:r>
    </w:p>
    <w:p w:rsidR="004D06E9" w:rsidRDefault="004D06E9">
      <w:pPr>
        <w:adjustRightInd w:val="0"/>
        <w:snapToGrid w:val="0"/>
        <w:spacing w:line="360" w:lineRule="auto"/>
        <w:jc w:val="center"/>
        <w:rPr>
          <w:rFonts w:eastAsia="黑体"/>
          <w:b/>
          <w:color w:val="000000"/>
          <w:sz w:val="32"/>
          <w:szCs w:val="32"/>
        </w:rPr>
        <w:sectPr w:rsidR="004D06E9">
          <w:pgSz w:w="11906" w:h="16838"/>
          <w:pgMar w:top="1440" w:right="1800" w:bottom="1440" w:left="1800" w:header="851" w:footer="992" w:gutter="0"/>
          <w:cols w:space="720"/>
          <w:docGrid w:type="lines" w:linePitch="312"/>
        </w:sectPr>
      </w:pPr>
    </w:p>
    <w:p w:rsidR="004D06E9" w:rsidRDefault="009F348E">
      <w:pPr>
        <w:adjustRightInd w:val="0"/>
        <w:snapToGrid w:val="0"/>
        <w:spacing w:line="360" w:lineRule="auto"/>
        <w:jc w:val="center"/>
        <w:rPr>
          <w:rFonts w:eastAsia="方正小标宋简体"/>
          <w:sz w:val="32"/>
          <w:szCs w:val="32"/>
        </w:rPr>
      </w:pPr>
      <w:r>
        <w:rPr>
          <w:rFonts w:eastAsia="方正小标宋简体"/>
          <w:sz w:val="32"/>
          <w:szCs w:val="32"/>
        </w:rPr>
        <w:lastRenderedPageBreak/>
        <w:t>2020</w:t>
      </w:r>
      <w:r>
        <w:rPr>
          <w:rFonts w:eastAsia="方正小标宋简体"/>
          <w:sz w:val="32"/>
          <w:szCs w:val="32"/>
        </w:rPr>
        <w:t>年新疆生产建设兵团保温材料</w:t>
      </w:r>
    </w:p>
    <w:p w:rsidR="004D06E9" w:rsidRDefault="009F348E">
      <w:pPr>
        <w:adjustRightInd w:val="0"/>
        <w:snapToGrid w:val="0"/>
        <w:spacing w:line="360" w:lineRule="auto"/>
        <w:jc w:val="center"/>
        <w:rPr>
          <w:rFonts w:eastAsia="方正小标宋简体"/>
          <w:sz w:val="32"/>
          <w:szCs w:val="32"/>
        </w:rPr>
      </w:pPr>
      <w:r>
        <w:rPr>
          <w:rFonts w:eastAsia="方正小标宋简体"/>
          <w:sz w:val="32"/>
          <w:szCs w:val="32"/>
        </w:rPr>
        <w:t>产品质量监督抽查实施细则</w:t>
      </w:r>
    </w:p>
    <w:p w:rsidR="004D06E9" w:rsidRDefault="009F348E">
      <w:pPr>
        <w:adjustRightInd w:val="0"/>
        <w:spacing w:before="156" w:after="156" w:line="360" w:lineRule="auto"/>
        <w:rPr>
          <w:rFonts w:eastAsia="黑体"/>
          <w:b/>
          <w:color w:val="000000"/>
          <w:szCs w:val="21"/>
        </w:rPr>
      </w:pPr>
      <w:r>
        <w:rPr>
          <w:rFonts w:eastAsia="黑体"/>
          <w:b/>
          <w:color w:val="000000"/>
          <w:szCs w:val="21"/>
        </w:rPr>
        <w:t xml:space="preserve">1  </w:t>
      </w:r>
      <w:r>
        <w:rPr>
          <w:rFonts w:eastAsia="黑体"/>
          <w:b/>
          <w:color w:val="000000"/>
          <w:szCs w:val="21"/>
        </w:rPr>
        <w:t>抽样方法</w:t>
      </w:r>
    </w:p>
    <w:p w:rsidR="004D06E9" w:rsidRDefault="009F348E">
      <w:pPr>
        <w:snapToGrid w:val="0"/>
        <w:spacing w:line="360" w:lineRule="auto"/>
        <w:ind w:firstLineChars="200" w:firstLine="420"/>
      </w:pPr>
      <w:r>
        <w:rPr>
          <w:rFonts w:hAnsi="宋体" w:hint="eastAsia"/>
          <w:color w:val="000000"/>
          <w:szCs w:val="21"/>
        </w:rPr>
        <w:t>抽样范围为新疆生产建设兵团辖区内生产企业，</w:t>
      </w:r>
      <w:r>
        <w:t>抽样对象为绝热用挤塑聚苯乙烯泡沫塑料和绝热用模塑聚苯乙烯泡沫塑料，产品执行标准分别为</w:t>
      </w:r>
      <w:r>
        <w:rPr>
          <w:color w:val="000000"/>
          <w:szCs w:val="21"/>
        </w:rPr>
        <w:t>GB/T 10801.2-2018</w:t>
      </w:r>
      <w:r>
        <w:rPr>
          <w:color w:val="000000"/>
          <w:szCs w:val="21"/>
        </w:rPr>
        <w:t>和</w:t>
      </w:r>
      <w:r>
        <w:rPr>
          <w:color w:val="000000"/>
          <w:szCs w:val="21"/>
        </w:rPr>
        <w:t>GB/T 10801.1-2002.</w:t>
      </w:r>
      <w:r>
        <w:rPr>
          <w:rFonts w:hint="eastAsia"/>
          <w:color w:val="000000"/>
          <w:szCs w:val="21"/>
        </w:rPr>
        <w:t>。</w:t>
      </w:r>
    </w:p>
    <w:p w:rsidR="004D06E9" w:rsidRDefault="009F348E">
      <w:pPr>
        <w:adjustRightInd w:val="0"/>
        <w:snapToGrid w:val="0"/>
        <w:spacing w:line="360" w:lineRule="auto"/>
        <w:ind w:firstLineChars="200" w:firstLine="420"/>
      </w:pPr>
      <w:r>
        <w:t>在生产企业的成品堆场里随机抽取有产品质量检验合格证明或者以其他形式表明合格准予出厂的产品。</w:t>
      </w:r>
    </w:p>
    <w:p w:rsidR="004D06E9" w:rsidRDefault="009F348E">
      <w:pPr>
        <w:adjustRightInd w:val="0"/>
        <w:snapToGrid w:val="0"/>
        <w:spacing w:line="360" w:lineRule="auto"/>
        <w:ind w:firstLineChars="200" w:firstLine="420"/>
      </w:pPr>
      <w:r>
        <w:t>抽取样品应为同一生产企业生产的同一种类、同一型号规格、同一批次的产品。</w:t>
      </w:r>
    </w:p>
    <w:p w:rsidR="004D06E9" w:rsidRDefault="009F348E">
      <w:pPr>
        <w:adjustRightInd w:val="0"/>
        <w:snapToGrid w:val="0"/>
        <w:spacing w:line="360" w:lineRule="auto"/>
        <w:ind w:firstLineChars="200" w:firstLine="420"/>
      </w:pPr>
      <w:r>
        <w:t>抽查样品基数满足抽样数量即可</w:t>
      </w:r>
      <w:r>
        <w:t>,</w:t>
      </w:r>
      <w:r>
        <w:rPr>
          <w:szCs w:val="21"/>
        </w:rPr>
        <w:t xml:space="preserve"> </w:t>
      </w:r>
      <w:r>
        <w:rPr>
          <w:szCs w:val="21"/>
        </w:rPr>
        <w:t>不超过</w:t>
      </w:r>
      <w:r>
        <w:rPr>
          <w:szCs w:val="21"/>
        </w:rPr>
        <w:t>600m</w:t>
      </w:r>
      <w:r>
        <w:rPr>
          <w:szCs w:val="21"/>
          <w:vertAlign w:val="superscript"/>
        </w:rPr>
        <w:t>3</w:t>
      </w:r>
      <w:r>
        <w:rPr>
          <w:szCs w:val="21"/>
        </w:rPr>
        <w:t>为一组批。</w:t>
      </w:r>
    </w:p>
    <w:p w:rsidR="004D06E9" w:rsidRDefault="009F348E">
      <w:pPr>
        <w:adjustRightInd w:val="0"/>
        <w:snapToGrid w:val="0"/>
        <w:spacing w:line="360" w:lineRule="auto"/>
        <w:ind w:firstLineChars="200" w:firstLine="420"/>
      </w:pPr>
      <w:r>
        <w:rPr>
          <w:color w:val="000000"/>
          <w:szCs w:val="21"/>
        </w:rPr>
        <w:t>在企业认定的合格产品中随机抽取样品，</w:t>
      </w:r>
      <w:r>
        <w:t>随机抽取</w:t>
      </w:r>
      <w:r>
        <w:t>32</w:t>
      </w:r>
      <w:r>
        <w:t>块绝热用挤塑聚苯乙烯泡沫塑料和绝热用模塑聚苯乙烯泡沫塑料。按</w:t>
      </w:r>
      <w:r>
        <w:t>1</w:t>
      </w:r>
      <w:r>
        <w:t>、</w:t>
      </w:r>
      <w:r>
        <w:t>2</w:t>
      </w:r>
      <w:r>
        <w:t>、</w:t>
      </w:r>
      <w:r>
        <w:t>3</w:t>
      </w:r>
      <w:r>
        <w:t>、</w:t>
      </w:r>
      <w:r>
        <w:t>4</w:t>
      </w:r>
      <w:r>
        <w:t>至</w:t>
      </w:r>
      <w:r>
        <w:t>32</w:t>
      </w:r>
      <w:r>
        <w:t>号标明，其中</w:t>
      </w:r>
      <w:r>
        <w:t>1</w:t>
      </w:r>
      <w:r>
        <w:t>号到</w:t>
      </w:r>
      <w:r>
        <w:t>16</w:t>
      </w:r>
      <w:r>
        <w:t>号为检验样品，</w:t>
      </w:r>
      <w:r>
        <w:t>17</w:t>
      </w:r>
      <w:r>
        <w:t>号到</w:t>
      </w:r>
      <w:r>
        <w:t>32</w:t>
      </w:r>
      <w:r>
        <w:t>号为备用样品。</w:t>
      </w:r>
    </w:p>
    <w:p w:rsidR="004D06E9" w:rsidRDefault="009F348E">
      <w:pPr>
        <w:adjustRightInd w:val="0"/>
        <w:snapToGrid w:val="0"/>
        <w:spacing w:line="360" w:lineRule="auto"/>
        <w:ind w:firstLineChars="200" w:firstLine="420"/>
      </w:pPr>
      <w:r>
        <w:t>随机数一般可使用随机数表、随机数骰子或扑克牌等方法产生。</w:t>
      </w:r>
    </w:p>
    <w:p w:rsidR="004D06E9" w:rsidRDefault="004D06E9">
      <w:pPr>
        <w:adjustRightInd w:val="0"/>
        <w:snapToGrid w:val="0"/>
        <w:spacing w:line="360" w:lineRule="auto"/>
        <w:rPr>
          <w:rFonts w:eastAsia="黑体"/>
          <w:b/>
        </w:rPr>
      </w:pPr>
    </w:p>
    <w:p w:rsidR="004D06E9" w:rsidRDefault="009F348E">
      <w:pPr>
        <w:adjustRightInd w:val="0"/>
        <w:snapToGrid w:val="0"/>
        <w:spacing w:line="360" w:lineRule="auto"/>
        <w:rPr>
          <w:rFonts w:eastAsia="黑体"/>
          <w:b/>
        </w:rPr>
      </w:pPr>
      <w:r>
        <w:rPr>
          <w:rFonts w:eastAsia="黑体"/>
          <w:b/>
        </w:rPr>
        <w:t xml:space="preserve">2  </w:t>
      </w:r>
      <w:r>
        <w:rPr>
          <w:rFonts w:eastAsia="黑体"/>
          <w:b/>
        </w:rPr>
        <w:t>检验依据</w:t>
      </w:r>
    </w:p>
    <w:p w:rsidR="004D06E9" w:rsidRDefault="009F348E">
      <w:pPr>
        <w:adjustRightInd w:val="0"/>
        <w:snapToGrid w:val="0"/>
        <w:spacing w:line="360" w:lineRule="auto"/>
        <w:ind w:firstLineChars="200" w:firstLine="420"/>
        <w:rPr>
          <w:color w:val="000000"/>
          <w:szCs w:val="21"/>
        </w:rPr>
      </w:pPr>
      <w:r>
        <w:rPr>
          <w:color w:val="000000"/>
          <w:szCs w:val="21"/>
        </w:rPr>
        <w:t>检验项目见表</w:t>
      </w:r>
      <w:r>
        <w:rPr>
          <w:color w:val="000000"/>
          <w:szCs w:val="21"/>
        </w:rPr>
        <w:t>1</w:t>
      </w:r>
      <w:r>
        <w:rPr>
          <w:color w:val="000000"/>
          <w:szCs w:val="21"/>
        </w:rPr>
        <w:t>和表</w:t>
      </w:r>
      <w:r>
        <w:rPr>
          <w:color w:val="000000"/>
          <w:szCs w:val="21"/>
        </w:rPr>
        <w:t>2</w:t>
      </w:r>
      <w:r>
        <w:rPr>
          <w:color w:val="000000"/>
          <w:szCs w:val="21"/>
        </w:rPr>
        <w:t>。</w:t>
      </w:r>
    </w:p>
    <w:p w:rsidR="004D06E9" w:rsidRDefault="009F348E">
      <w:pPr>
        <w:adjustRightInd w:val="0"/>
        <w:snapToGrid w:val="0"/>
        <w:spacing w:line="360" w:lineRule="auto"/>
        <w:ind w:firstLineChars="200" w:firstLine="360"/>
        <w:jc w:val="center"/>
        <w:rPr>
          <w:rFonts w:eastAsia="黑体"/>
          <w:color w:val="000000"/>
          <w:sz w:val="18"/>
          <w:szCs w:val="18"/>
        </w:rPr>
      </w:pPr>
      <w:r>
        <w:rPr>
          <w:rFonts w:eastAsia="黑体"/>
          <w:color w:val="000000"/>
          <w:sz w:val="18"/>
          <w:szCs w:val="18"/>
        </w:rPr>
        <w:t>表</w:t>
      </w:r>
      <w:r>
        <w:rPr>
          <w:rFonts w:eastAsia="黑体"/>
          <w:color w:val="000000"/>
          <w:sz w:val="18"/>
          <w:szCs w:val="18"/>
        </w:rPr>
        <w:t xml:space="preserve">1  </w:t>
      </w:r>
      <w:r>
        <w:rPr>
          <w:rFonts w:eastAsia="黑体"/>
          <w:color w:val="000000"/>
          <w:sz w:val="18"/>
          <w:szCs w:val="18"/>
        </w:rPr>
        <w:t>绝热用挤塑聚苯乙烯泡沫塑料检验项目及检验方法</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2031"/>
        <w:gridCol w:w="2283"/>
        <w:gridCol w:w="2268"/>
        <w:gridCol w:w="946"/>
        <w:gridCol w:w="818"/>
      </w:tblGrid>
      <w:tr w:rsidR="004D06E9">
        <w:trPr>
          <w:trHeight w:val="303"/>
          <w:jc w:val="center"/>
        </w:trPr>
        <w:tc>
          <w:tcPr>
            <w:tcW w:w="579" w:type="dxa"/>
            <w:vMerge w:val="restart"/>
            <w:vAlign w:val="center"/>
          </w:tcPr>
          <w:p w:rsidR="004D06E9" w:rsidRDefault="009F348E">
            <w:pPr>
              <w:adjustRightInd w:val="0"/>
              <w:snapToGrid w:val="0"/>
              <w:jc w:val="center"/>
              <w:rPr>
                <w:rFonts w:eastAsiaTheme="minorEastAsia"/>
                <w:sz w:val="18"/>
                <w:szCs w:val="18"/>
              </w:rPr>
            </w:pPr>
            <w:r>
              <w:rPr>
                <w:rFonts w:eastAsiaTheme="minorEastAsia"/>
                <w:sz w:val="18"/>
                <w:szCs w:val="18"/>
              </w:rPr>
              <w:t>序号</w:t>
            </w:r>
          </w:p>
        </w:tc>
        <w:tc>
          <w:tcPr>
            <w:tcW w:w="2031" w:type="dxa"/>
            <w:vMerge w:val="restart"/>
            <w:vAlign w:val="center"/>
          </w:tcPr>
          <w:p w:rsidR="004D06E9" w:rsidRDefault="009F348E">
            <w:pPr>
              <w:adjustRightInd w:val="0"/>
              <w:snapToGrid w:val="0"/>
              <w:jc w:val="center"/>
              <w:rPr>
                <w:rFonts w:eastAsiaTheme="minorEastAsia"/>
                <w:sz w:val="18"/>
                <w:szCs w:val="18"/>
              </w:rPr>
            </w:pPr>
            <w:r>
              <w:rPr>
                <w:rFonts w:eastAsiaTheme="minorEastAsia"/>
                <w:sz w:val="18"/>
                <w:szCs w:val="18"/>
              </w:rPr>
              <w:t>检验项目</w:t>
            </w:r>
          </w:p>
        </w:tc>
        <w:tc>
          <w:tcPr>
            <w:tcW w:w="2283" w:type="dxa"/>
            <w:vMerge w:val="restart"/>
            <w:vAlign w:val="center"/>
          </w:tcPr>
          <w:p w:rsidR="004D06E9" w:rsidRDefault="009F348E">
            <w:pPr>
              <w:adjustRightInd w:val="0"/>
              <w:snapToGrid w:val="0"/>
              <w:jc w:val="center"/>
              <w:rPr>
                <w:rFonts w:eastAsiaTheme="minorEastAsia"/>
                <w:sz w:val="18"/>
                <w:szCs w:val="18"/>
              </w:rPr>
            </w:pPr>
            <w:r>
              <w:rPr>
                <w:rFonts w:eastAsiaTheme="minorEastAsia"/>
                <w:sz w:val="18"/>
                <w:szCs w:val="18"/>
              </w:rPr>
              <w:t>判定依据</w:t>
            </w:r>
          </w:p>
        </w:tc>
        <w:tc>
          <w:tcPr>
            <w:tcW w:w="2268" w:type="dxa"/>
            <w:vMerge w:val="restart"/>
            <w:vAlign w:val="center"/>
          </w:tcPr>
          <w:p w:rsidR="004D06E9" w:rsidRDefault="009F348E">
            <w:pPr>
              <w:adjustRightInd w:val="0"/>
              <w:snapToGrid w:val="0"/>
              <w:jc w:val="center"/>
              <w:rPr>
                <w:rFonts w:eastAsiaTheme="minorEastAsia"/>
                <w:sz w:val="18"/>
                <w:szCs w:val="18"/>
              </w:rPr>
            </w:pPr>
            <w:r>
              <w:rPr>
                <w:rFonts w:eastAsiaTheme="minorEastAsia"/>
                <w:sz w:val="18"/>
                <w:szCs w:val="18"/>
              </w:rPr>
              <w:t>检检方法</w:t>
            </w:r>
          </w:p>
        </w:tc>
        <w:tc>
          <w:tcPr>
            <w:tcW w:w="1764" w:type="dxa"/>
            <w:gridSpan w:val="2"/>
          </w:tcPr>
          <w:p w:rsidR="004D06E9" w:rsidRDefault="009F348E">
            <w:pPr>
              <w:jc w:val="center"/>
              <w:rPr>
                <w:rFonts w:eastAsia="黑体" w:hAnsi="黑体"/>
                <w:sz w:val="18"/>
                <w:szCs w:val="18"/>
              </w:rPr>
            </w:pPr>
            <w:r>
              <w:rPr>
                <w:rFonts w:eastAsia="黑体" w:hAnsi="黑体" w:hint="eastAsia"/>
                <w:sz w:val="18"/>
                <w:szCs w:val="18"/>
              </w:rPr>
              <w:t>重要程度分类</w:t>
            </w:r>
          </w:p>
        </w:tc>
      </w:tr>
      <w:tr w:rsidR="004D06E9">
        <w:trPr>
          <w:trHeight w:val="207"/>
          <w:jc w:val="center"/>
        </w:trPr>
        <w:tc>
          <w:tcPr>
            <w:tcW w:w="579" w:type="dxa"/>
            <w:vMerge/>
            <w:vAlign w:val="center"/>
          </w:tcPr>
          <w:p w:rsidR="004D06E9" w:rsidRDefault="004D06E9">
            <w:pPr>
              <w:adjustRightInd w:val="0"/>
              <w:snapToGrid w:val="0"/>
              <w:jc w:val="center"/>
              <w:rPr>
                <w:rFonts w:eastAsiaTheme="minorEastAsia"/>
                <w:sz w:val="18"/>
                <w:szCs w:val="18"/>
              </w:rPr>
            </w:pPr>
          </w:p>
        </w:tc>
        <w:tc>
          <w:tcPr>
            <w:tcW w:w="2031" w:type="dxa"/>
            <w:vMerge/>
            <w:vAlign w:val="center"/>
          </w:tcPr>
          <w:p w:rsidR="004D06E9" w:rsidRDefault="004D06E9">
            <w:pPr>
              <w:adjustRightInd w:val="0"/>
              <w:snapToGrid w:val="0"/>
              <w:jc w:val="center"/>
              <w:rPr>
                <w:rFonts w:eastAsiaTheme="minorEastAsia"/>
                <w:sz w:val="18"/>
                <w:szCs w:val="18"/>
              </w:rPr>
            </w:pPr>
          </w:p>
        </w:tc>
        <w:tc>
          <w:tcPr>
            <w:tcW w:w="2283" w:type="dxa"/>
            <w:vMerge/>
            <w:vAlign w:val="center"/>
          </w:tcPr>
          <w:p w:rsidR="004D06E9" w:rsidRDefault="004D06E9">
            <w:pPr>
              <w:adjustRightInd w:val="0"/>
              <w:snapToGrid w:val="0"/>
              <w:jc w:val="center"/>
              <w:rPr>
                <w:rFonts w:eastAsiaTheme="minorEastAsia"/>
                <w:sz w:val="18"/>
                <w:szCs w:val="18"/>
              </w:rPr>
            </w:pPr>
          </w:p>
        </w:tc>
        <w:tc>
          <w:tcPr>
            <w:tcW w:w="2268" w:type="dxa"/>
            <w:vMerge/>
            <w:vAlign w:val="center"/>
          </w:tcPr>
          <w:p w:rsidR="004D06E9" w:rsidRDefault="004D06E9">
            <w:pPr>
              <w:adjustRightInd w:val="0"/>
              <w:snapToGrid w:val="0"/>
              <w:jc w:val="center"/>
              <w:rPr>
                <w:rFonts w:eastAsiaTheme="minorEastAsia"/>
                <w:sz w:val="18"/>
                <w:szCs w:val="18"/>
              </w:rPr>
            </w:pPr>
          </w:p>
        </w:tc>
        <w:tc>
          <w:tcPr>
            <w:tcW w:w="946" w:type="dxa"/>
          </w:tcPr>
          <w:p w:rsidR="004D06E9" w:rsidRDefault="009F348E">
            <w:pPr>
              <w:jc w:val="center"/>
              <w:rPr>
                <w:rFonts w:eastAsia="黑体" w:hAnsi="黑体"/>
                <w:sz w:val="18"/>
                <w:szCs w:val="18"/>
              </w:rPr>
            </w:pPr>
            <w:r>
              <w:rPr>
                <w:rFonts w:eastAsia="黑体" w:hAnsi="黑体" w:hint="eastAsia"/>
                <w:sz w:val="18"/>
                <w:szCs w:val="18"/>
              </w:rPr>
              <w:t>A</w:t>
            </w:r>
            <w:r>
              <w:rPr>
                <w:rFonts w:eastAsia="黑体" w:hAnsi="黑体" w:hint="eastAsia"/>
                <w:sz w:val="18"/>
                <w:szCs w:val="18"/>
              </w:rPr>
              <w:t>类</w:t>
            </w:r>
            <w:r>
              <w:rPr>
                <w:rFonts w:eastAsia="黑体" w:hAnsi="黑体" w:hint="eastAsia"/>
                <w:sz w:val="18"/>
                <w:szCs w:val="18"/>
                <w:vertAlign w:val="superscript"/>
              </w:rPr>
              <w:t>a</w:t>
            </w:r>
          </w:p>
        </w:tc>
        <w:tc>
          <w:tcPr>
            <w:tcW w:w="818" w:type="dxa"/>
          </w:tcPr>
          <w:p w:rsidR="004D06E9" w:rsidRDefault="009F348E">
            <w:pPr>
              <w:jc w:val="center"/>
              <w:rPr>
                <w:rFonts w:eastAsia="黑体" w:hAnsi="黑体"/>
                <w:sz w:val="18"/>
                <w:szCs w:val="18"/>
              </w:rPr>
            </w:pPr>
            <w:r>
              <w:rPr>
                <w:rFonts w:eastAsia="黑体" w:hAnsi="黑体" w:hint="eastAsia"/>
                <w:sz w:val="18"/>
                <w:szCs w:val="18"/>
              </w:rPr>
              <w:t>B</w:t>
            </w:r>
            <w:r>
              <w:rPr>
                <w:rFonts w:eastAsia="黑体" w:hAnsi="黑体" w:hint="eastAsia"/>
                <w:sz w:val="18"/>
                <w:szCs w:val="18"/>
              </w:rPr>
              <w:t>类</w:t>
            </w:r>
            <w:r>
              <w:rPr>
                <w:rFonts w:eastAsia="黑体" w:hAnsi="黑体" w:hint="eastAsia"/>
                <w:sz w:val="18"/>
                <w:szCs w:val="18"/>
                <w:vertAlign w:val="superscript"/>
              </w:rPr>
              <w:t>b</w:t>
            </w:r>
          </w:p>
        </w:tc>
      </w:tr>
      <w:tr w:rsidR="004D06E9">
        <w:trPr>
          <w:trHeight w:val="320"/>
          <w:jc w:val="center"/>
        </w:trPr>
        <w:tc>
          <w:tcPr>
            <w:tcW w:w="579"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1</w:t>
            </w:r>
          </w:p>
        </w:tc>
        <w:tc>
          <w:tcPr>
            <w:tcW w:w="2031"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导热系数（</w:t>
            </w:r>
            <w:r>
              <w:rPr>
                <w:rFonts w:eastAsiaTheme="minorEastAsia"/>
                <w:sz w:val="18"/>
                <w:szCs w:val="18"/>
              </w:rPr>
              <w:t>25℃</w:t>
            </w:r>
            <w:r>
              <w:rPr>
                <w:rFonts w:eastAsiaTheme="minorEastAsia"/>
                <w:sz w:val="18"/>
                <w:szCs w:val="18"/>
              </w:rPr>
              <w:t>）</w:t>
            </w:r>
          </w:p>
        </w:tc>
        <w:tc>
          <w:tcPr>
            <w:tcW w:w="2283"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GB/T 10801.2-2018</w:t>
            </w:r>
          </w:p>
        </w:tc>
        <w:tc>
          <w:tcPr>
            <w:tcW w:w="2268"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 xml:space="preserve">GB/T </w:t>
            </w:r>
            <w:r>
              <w:rPr>
                <w:rFonts w:eastAsiaTheme="minorEastAsia"/>
                <w:sz w:val="18"/>
                <w:szCs w:val="18"/>
              </w:rPr>
              <w:t>10294-2008</w:t>
            </w:r>
          </w:p>
          <w:p w:rsidR="004D06E9" w:rsidRDefault="009F348E">
            <w:pPr>
              <w:adjustRightInd w:val="0"/>
              <w:snapToGrid w:val="0"/>
              <w:jc w:val="center"/>
              <w:rPr>
                <w:rFonts w:eastAsiaTheme="minorEastAsia"/>
                <w:sz w:val="18"/>
                <w:szCs w:val="18"/>
              </w:rPr>
            </w:pPr>
            <w:r>
              <w:rPr>
                <w:rFonts w:eastAsiaTheme="minorEastAsia"/>
                <w:sz w:val="18"/>
                <w:szCs w:val="18"/>
              </w:rPr>
              <w:t>GB/T 10801.2-2018</w:t>
            </w:r>
          </w:p>
        </w:tc>
        <w:tc>
          <w:tcPr>
            <w:tcW w:w="946" w:type="dxa"/>
            <w:vAlign w:val="center"/>
          </w:tcPr>
          <w:p w:rsidR="004D06E9" w:rsidRDefault="009F348E">
            <w:pPr>
              <w:adjustRightInd w:val="0"/>
              <w:snapToGrid w:val="0"/>
              <w:jc w:val="center"/>
              <w:rPr>
                <w:rFonts w:eastAsiaTheme="minorEastAsia"/>
                <w:sz w:val="18"/>
                <w:szCs w:val="18"/>
              </w:rPr>
            </w:pPr>
            <w:r>
              <w:rPr>
                <w:rFonts w:eastAsia="黑体" w:hint="eastAsia"/>
                <w:sz w:val="18"/>
                <w:szCs w:val="18"/>
              </w:rPr>
              <w:t>●</w:t>
            </w:r>
          </w:p>
        </w:tc>
        <w:tc>
          <w:tcPr>
            <w:tcW w:w="818" w:type="dxa"/>
            <w:vAlign w:val="center"/>
          </w:tcPr>
          <w:p w:rsidR="004D06E9" w:rsidRDefault="004D06E9">
            <w:pPr>
              <w:adjustRightInd w:val="0"/>
              <w:snapToGrid w:val="0"/>
              <w:jc w:val="center"/>
              <w:rPr>
                <w:rFonts w:eastAsiaTheme="minorEastAsia"/>
                <w:sz w:val="18"/>
                <w:szCs w:val="18"/>
              </w:rPr>
            </w:pPr>
          </w:p>
        </w:tc>
      </w:tr>
      <w:tr w:rsidR="004D06E9">
        <w:trPr>
          <w:trHeight w:val="320"/>
          <w:jc w:val="center"/>
        </w:trPr>
        <w:tc>
          <w:tcPr>
            <w:tcW w:w="579"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2</w:t>
            </w:r>
          </w:p>
        </w:tc>
        <w:tc>
          <w:tcPr>
            <w:tcW w:w="2031"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燃烧性能</w:t>
            </w:r>
          </w:p>
        </w:tc>
        <w:tc>
          <w:tcPr>
            <w:tcW w:w="2283"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GB/T 10801.2-2018</w:t>
            </w:r>
          </w:p>
        </w:tc>
        <w:tc>
          <w:tcPr>
            <w:tcW w:w="2268"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GB 8624-2012</w:t>
            </w:r>
          </w:p>
          <w:p w:rsidR="004D06E9" w:rsidRDefault="009F348E">
            <w:pPr>
              <w:adjustRightInd w:val="0"/>
              <w:snapToGrid w:val="0"/>
              <w:jc w:val="center"/>
              <w:rPr>
                <w:rFonts w:eastAsiaTheme="minorEastAsia"/>
                <w:sz w:val="18"/>
                <w:szCs w:val="18"/>
              </w:rPr>
            </w:pPr>
            <w:r>
              <w:rPr>
                <w:rFonts w:eastAsiaTheme="minorEastAsia"/>
                <w:sz w:val="18"/>
                <w:szCs w:val="18"/>
              </w:rPr>
              <w:t xml:space="preserve"> GB/T 10801.2-2018</w:t>
            </w:r>
          </w:p>
        </w:tc>
        <w:tc>
          <w:tcPr>
            <w:tcW w:w="946" w:type="dxa"/>
            <w:vAlign w:val="center"/>
          </w:tcPr>
          <w:p w:rsidR="004D06E9" w:rsidRDefault="009F348E">
            <w:pPr>
              <w:adjustRightInd w:val="0"/>
              <w:snapToGrid w:val="0"/>
              <w:jc w:val="center"/>
              <w:rPr>
                <w:rFonts w:eastAsiaTheme="minorEastAsia"/>
                <w:sz w:val="18"/>
                <w:szCs w:val="18"/>
              </w:rPr>
            </w:pPr>
            <w:r>
              <w:rPr>
                <w:rFonts w:eastAsia="黑体" w:hint="eastAsia"/>
                <w:sz w:val="18"/>
                <w:szCs w:val="18"/>
              </w:rPr>
              <w:t>●</w:t>
            </w:r>
          </w:p>
        </w:tc>
        <w:tc>
          <w:tcPr>
            <w:tcW w:w="818" w:type="dxa"/>
            <w:vAlign w:val="center"/>
          </w:tcPr>
          <w:p w:rsidR="004D06E9" w:rsidRDefault="004D06E9">
            <w:pPr>
              <w:adjustRightInd w:val="0"/>
              <w:snapToGrid w:val="0"/>
              <w:jc w:val="center"/>
              <w:rPr>
                <w:rFonts w:eastAsiaTheme="minorEastAsia"/>
                <w:sz w:val="18"/>
                <w:szCs w:val="18"/>
              </w:rPr>
            </w:pPr>
          </w:p>
        </w:tc>
      </w:tr>
      <w:tr w:rsidR="004D06E9">
        <w:trPr>
          <w:trHeight w:val="562"/>
          <w:jc w:val="center"/>
        </w:trPr>
        <w:tc>
          <w:tcPr>
            <w:tcW w:w="579"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3</w:t>
            </w:r>
          </w:p>
        </w:tc>
        <w:tc>
          <w:tcPr>
            <w:tcW w:w="2031"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吸水率</w:t>
            </w:r>
          </w:p>
        </w:tc>
        <w:tc>
          <w:tcPr>
            <w:tcW w:w="2283"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GB/T 10801.2-2018</w:t>
            </w:r>
          </w:p>
        </w:tc>
        <w:tc>
          <w:tcPr>
            <w:tcW w:w="2268"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GB/T 8810-2005</w:t>
            </w:r>
          </w:p>
          <w:p w:rsidR="004D06E9" w:rsidRDefault="009F348E">
            <w:pPr>
              <w:adjustRightInd w:val="0"/>
              <w:snapToGrid w:val="0"/>
              <w:jc w:val="center"/>
              <w:rPr>
                <w:rFonts w:eastAsiaTheme="minorEastAsia"/>
                <w:sz w:val="18"/>
                <w:szCs w:val="18"/>
              </w:rPr>
            </w:pPr>
            <w:r>
              <w:rPr>
                <w:rFonts w:eastAsiaTheme="minorEastAsia"/>
                <w:sz w:val="18"/>
                <w:szCs w:val="18"/>
              </w:rPr>
              <w:t>GB/T 10801.2-2018</w:t>
            </w:r>
          </w:p>
        </w:tc>
        <w:tc>
          <w:tcPr>
            <w:tcW w:w="946" w:type="dxa"/>
            <w:vAlign w:val="center"/>
          </w:tcPr>
          <w:p w:rsidR="004D06E9" w:rsidRDefault="004D06E9">
            <w:pPr>
              <w:adjustRightInd w:val="0"/>
              <w:snapToGrid w:val="0"/>
              <w:jc w:val="center"/>
              <w:rPr>
                <w:rFonts w:eastAsiaTheme="minorEastAsia"/>
                <w:b/>
                <w:bCs/>
                <w:sz w:val="18"/>
                <w:szCs w:val="18"/>
              </w:rPr>
            </w:pPr>
          </w:p>
        </w:tc>
        <w:tc>
          <w:tcPr>
            <w:tcW w:w="818" w:type="dxa"/>
            <w:vAlign w:val="center"/>
          </w:tcPr>
          <w:p w:rsidR="004D06E9" w:rsidRDefault="009F348E">
            <w:pPr>
              <w:adjustRightInd w:val="0"/>
              <w:snapToGrid w:val="0"/>
              <w:jc w:val="center"/>
              <w:rPr>
                <w:rFonts w:eastAsiaTheme="minorEastAsia"/>
                <w:sz w:val="18"/>
                <w:szCs w:val="18"/>
              </w:rPr>
            </w:pPr>
            <w:r>
              <w:rPr>
                <w:rFonts w:eastAsia="黑体" w:hint="eastAsia"/>
                <w:sz w:val="18"/>
                <w:szCs w:val="18"/>
              </w:rPr>
              <w:t>●</w:t>
            </w:r>
          </w:p>
        </w:tc>
      </w:tr>
      <w:tr w:rsidR="004D06E9">
        <w:trPr>
          <w:trHeight w:val="429"/>
          <w:jc w:val="center"/>
        </w:trPr>
        <w:tc>
          <w:tcPr>
            <w:tcW w:w="579"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4</w:t>
            </w:r>
          </w:p>
        </w:tc>
        <w:tc>
          <w:tcPr>
            <w:tcW w:w="2031"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尺寸稳定性</w:t>
            </w:r>
            <w:r>
              <w:rPr>
                <w:rFonts w:eastAsiaTheme="minorEastAsia"/>
                <w:sz w:val="18"/>
                <w:szCs w:val="18"/>
              </w:rPr>
              <w:t>(70℃)</w:t>
            </w:r>
          </w:p>
        </w:tc>
        <w:tc>
          <w:tcPr>
            <w:tcW w:w="2283"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GB/T 10801.2-2018</w:t>
            </w:r>
          </w:p>
        </w:tc>
        <w:tc>
          <w:tcPr>
            <w:tcW w:w="2268"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GB/T 8811-2008</w:t>
            </w:r>
          </w:p>
          <w:p w:rsidR="004D06E9" w:rsidRDefault="009F348E">
            <w:pPr>
              <w:adjustRightInd w:val="0"/>
              <w:snapToGrid w:val="0"/>
              <w:jc w:val="center"/>
              <w:rPr>
                <w:rFonts w:eastAsiaTheme="minorEastAsia"/>
                <w:sz w:val="18"/>
                <w:szCs w:val="18"/>
              </w:rPr>
            </w:pPr>
            <w:r>
              <w:rPr>
                <w:rFonts w:eastAsiaTheme="minorEastAsia"/>
                <w:sz w:val="18"/>
                <w:szCs w:val="18"/>
              </w:rPr>
              <w:t>GB/T 10801.2-2018</w:t>
            </w:r>
          </w:p>
        </w:tc>
        <w:tc>
          <w:tcPr>
            <w:tcW w:w="946" w:type="dxa"/>
            <w:vAlign w:val="center"/>
          </w:tcPr>
          <w:p w:rsidR="004D06E9" w:rsidRDefault="004D06E9">
            <w:pPr>
              <w:adjustRightInd w:val="0"/>
              <w:snapToGrid w:val="0"/>
              <w:jc w:val="center"/>
              <w:rPr>
                <w:rFonts w:eastAsiaTheme="minorEastAsia"/>
                <w:b/>
                <w:bCs/>
                <w:sz w:val="18"/>
                <w:szCs w:val="18"/>
              </w:rPr>
            </w:pPr>
          </w:p>
        </w:tc>
        <w:tc>
          <w:tcPr>
            <w:tcW w:w="818" w:type="dxa"/>
            <w:vAlign w:val="center"/>
          </w:tcPr>
          <w:p w:rsidR="004D06E9" w:rsidRDefault="009F348E">
            <w:pPr>
              <w:adjustRightInd w:val="0"/>
              <w:snapToGrid w:val="0"/>
              <w:jc w:val="center"/>
              <w:rPr>
                <w:rFonts w:eastAsiaTheme="minorEastAsia"/>
                <w:sz w:val="18"/>
                <w:szCs w:val="18"/>
              </w:rPr>
            </w:pPr>
            <w:r>
              <w:rPr>
                <w:rFonts w:eastAsia="黑体" w:hint="eastAsia"/>
                <w:sz w:val="18"/>
                <w:szCs w:val="18"/>
              </w:rPr>
              <w:t>●</w:t>
            </w:r>
          </w:p>
        </w:tc>
      </w:tr>
      <w:tr w:rsidR="004D06E9">
        <w:trPr>
          <w:trHeight w:val="429"/>
          <w:jc w:val="center"/>
        </w:trPr>
        <w:tc>
          <w:tcPr>
            <w:tcW w:w="579"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5</w:t>
            </w:r>
          </w:p>
        </w:tc>
        <w:tc>
          <w:tcPr>
            <w:tcW w:w="2031"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压缩强度</w:t>
            </w:r>
          </w:p>
        </w:tc>
        <w:tc>
          <w:tcPr>
            <w:tcW w:w="2283"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GB/T 10801.2-2018</w:t>
            </w:r>
          </w:p>
        </w:tc>
        <w:tc>
          <w:tcPr>
            <w:tcW w:w="2268"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 xml:space="preserve">GB/T </w:t>
            </w:r>
            <w:r>
              <w:rPr>
                <w:rFonts w:eastAsiaTheme="minorEastAsia"/>
                <w:sz w:val="18"/>
                <w:szCs w:val="18"/>
              </w:rPr>
              <w:t>8813-2008</w:t>
            </w:r>
          </w:p>
          <w:p w:rsidR="004D06E9" w:rsidRDefault="009F348E">
            <w:pPr>
              <w:adjustRightInd w:val="0"/>
              <w:snapToGrid w:val="0"/>
              <w:jc w:val="center"/>
              <w:rPr>
                <w:rFonts w:eastAsiaTheme="minorEastAsia"/>
                <w:sz w:val="18"/>
                <w:szCs w:val="18"/>
              </w:rPr>
            </w:pPr>
            <w:r>
              <w:rPr>
                <w:rFonts w:eastAsiaTheme="minorEastAsia"/>
                <w:sz w:val="18"/>
                <w:szCs w:val="18"/>
              </w:rPr>
              <w:t>GB/T 10801.2-2018</w:t>
            </w:r>
          </w:p>
        </w:tc>
        <w:tc>
          <w:tcPr>
            <w:tcW w:w="946" w:type="dxa"/>
            <w:vAlign w:val="center"/>
          </w:tcPr>
          <w:p w:rsidR="004D06E9" w:rsidRDefault="004D06E9">
            <w:pPr>
              <w:adjustRightInd w:val="0"/>
              <w:snapToGrid w:val="0"/>
              <w:jc w:val="center"/>
              <w:rPr>
                <w:rFonts w:eastAsiaTheme="minorEastAsia"/>
                <w:b/>
                <w:bCs/>
                <w:sz w:val="18"/>
                <w:szCs w:val="18"/>
              </w:rPr>
            </w:pPr>
          </w:p>
        </w:tc>
        <w:tc>
          <w:tcPr>
            <w:tcW w:w="818" w:type="dxa"/>
            <w:vAlign w:val="center"/>
          </w:tcPr>
          <w:p w:rsidR="004D06E9" w:rsidRDefault="009F348E">
            <w:pPr>
              <w:adjustRightInd w:val="0"/>
              <w:snapToGrid w:val="0"/>
              <w:jc w:val="center"/>
              <w:rPr>
                <w:rFonts w:eastAsiaTheme="minorEastAsia"/>
                <w:sz w:val="18"/>
                <w:szCs w:val="18"/>
              </w:rPr>
            </w:pPr>
            <w:r>
              <w:rPr>
                <w:rFonts w:eastAsia="黑体" w:hint="eastAsia"/>
                <w:sz w:val="18"/>
                <w:szCs w:val="18"/>
              </w:rPr>
              <w:t>●</w:t>
            </w:r>
          </w:p>
        </w:tc>
      </w:tr>
      <w:tr w:rsidR="004D06E9">
        <w:trPr>
          <w:trHeight w:val="429"/>
          <w:jc w:val="center"/>
        </w:trPr>
        <w:tc>
          <w:tcPr>
            <w:tcW w:w="8925" w:type="dxa"/>
            <w:gridSpan w:val="6"/>
            <w:vAlign w:val="center"/>
          </w:tcPr>
          <w:p w:rsidR="004D06E9" w:rsidRDefault="009F348E">
            <w:pPr>
              <w:snapToGrid w:val="0"/>
              <w:jc w:val="left"/>
              <w:rPr>
                <w:rFonts w:eastAsia="黑体"/>
                <w:sz w:val="18"/>
                <w:szCs w:val="18"/>
              </w:rPr>
            </w:pPr>
            <w:r>
              <w:rPr>
                <w:rFonts w:eastAsia="黑体"/>
                <w:sz w:val="18"/>
                <w:szCs w:val="18"/>
              </w:rPr>
              <w:t>a</w:t>
            </w:r>
            <w:r>
              <w:rPr>
                <w:rFonts w:eastAsia="黑体" w:hint="eastAsia"/>
                <w:sz w:val="18"/>
                <w:szCs w:val="18"/>
              </w:rPr>
              <w:t>极重要质量项目</w:t>
            </w:r>
          </w:p>
          <w:p w:rsidR="004D06E9" w:rsidRDefault="009F348E">
            <w:pPr>
              <w:adjustRightInd w:val="0"/>
              <w:snapToGrid w:val="0"/>
              <w:rPr>
                <w:rFonts w:eastAsia="黑体"/>
                <w:sz w:val="18"/>
                <w:szCs w:val="18"/>
              </w:rPr>
            </w:pPr>
            <w:r>
              <w:rPr>
                <w:rFonts w:eastAsia="黑体"/>
                <w:sz w:val="18"/>
                <w:szCs w:val="18"/>
              </w:rPr>
              <w:t>b</w:t>
            </w:r>
            <w:r>
              <w:rPr>
                <w:rFonts w:eastAsia="黑体" w:hint="eastAsia"/>
                <w:sz w:val="18"/>
                <w:szCs w:val="18"/>
              </w:rPr>
              <w:t>重要质量项目</w:t>
            </w:r>
          </w:p>
        </w:tc>
      </w:tr>
    </w:tbl>
    <w:p w:rsidR="004D06E9" w:rsidRDefault="009F348E">
      <w:pPr>
        <w:adjustRightInd w:val="0"/>
        <w:snapToGrid w:val="0"/>
        <w:spacing w:line="360" w:lineRule="auto"/>
        <w:ind w:firstLineChars="200" w:firstLine="360"/>
        <w:jc w:val="center"/>
        <w:rPr>
          <w:rFonts w:eastAsia="黑体"/>
          <w:color w:val="000000"/>
          <w:sz w:val="18"/>
          <w:szCs w:val="18"/>
        </w:rPr>
      </w:pPr>
      <w:r>
        <w:rPr>
          <w:rFonts w:eastAsia="黑体"/>
          <w:color w:val="000000"/>
          <w:sz w:val="18"/>
          <w:szCs w:val="18"/>
        </w:rPr>
        <w:t>表</w:t>
      </w:r>
      <w:r>
        <w:rPr>
          <w:rFonts w:eastAsia="黑体"/>
          <w:color w:val="000000"/>
          <w:sz w:val="18"/>
          <w:szCs w:val="18"/>
        </w:rPr>
        <w:t xml:space="preserve">2  </w:t>
      </w:r>
      <w:r>
        <w:rPr>
          <w:rFonts w:eastAsia="黑体"/>
          <w:color w:val="000000"/>
          <w:sz w:val="18"/>
          <w:szCs w:val="18"/>
        </w:rPr>
        <w:t>绝热用模塑聚苯乙烯泡沫塑料检验项目及检验方法</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1920"/>
        <w:gridCol w:w="2232"/>
        <w:gridCol w:w="2436"/>
        <w:gridCol w:w="851"/>
        <w:gridCol w:w="782"/>
      </w:tblGrid>
      <w:tr w:rsidR="004D06E9">
        <w:trPr>
          <w:trHeight w:val="363"/>
          <w:jc w:val="center"/>
        </w:trPr>
        <w:tc>
          <w:tcPr>
            <w:tcW w:w="632" w:type="dxa"/>
            <w:vMerge w:val="restart"/>
            <w:vAlign w:val="center"/>
          </w:tcPr>
          <w:p w:rsidR="004D06E9" w:rsidRDefault="009F348E">
            <w:pPr>
              <w:adjustRightInd w:val="0"/>
              <w:snapToGrid w:val="0"/>
              <w:jc w:val="center"/>
              <w:rPr>
                <w:rFonts w:eastAsiaTheme="minorEastAsia"/>
                <w:sz w:val="18"/>
                <w:szCs w:val="18"/>
              </w:rPr>
            </w:pPr>
            <w:r>
              <w:rPr>
                <w:rFonts w:eastAsiaTheme="minorEastAsia"/>
                <w:sz w:val="18"/>
                <w:szCs w:val="18"/>
              </w:rPr>
              <w:t>序号</w:t>
            </w:r>
          </w:p>
        </w:tc>
        <w:tc>
          <w:tcPr>
            <w:tcW w:w="1920" w:type="dxa"/>
            <w:vMerge w:val="restart"/>
            <w:vAlign w:val="center"/>
          </w:tcPr>
          <w:p w:rsidR="004D06E9" w:rsidRDefault="009F348E">
            <w:pPr>
              <w:adjustRightInd w:val="0"/>
              <w:snapToGrid w:val="0"/>
              <w:jc w:val="center"/>
              <w:rPr>
                <w:rFonts w:eastAsiaTheme="minorEastAsia"/>
                <w:sz w:val="18"/>
                <w:szCs w:val="18"/>
              </w:rPr>
            </w:pPr>
            <w:r>
              <w:rPr>
                <w:rFonts w:eastAsiaTheme="minorEastAsia"/>
                <w:sz w:val="18"/>
                <w:szCs w:val="18"/>
              </w:rPr>
              <w:t>检验项目</w:t>
            </w:r>
          </w:p>
        </w:tc>
        <w:tc>
          <w:tcPr>
            <w:tcW w:w="2232" w:type="dxa"/>
            <w:vMerge w:val="restart"/>
            <w:vAlign w:val="center"/>
          </w:tcPr>
          <w:p w:rsidR="004D06E9" w:rsidRDefault="009F348E">
            <w:pPr>
              <w:adjustRightInd w:val="0"/>
              <w:snapToGrid w:val="0"/>
              <w:jc w:val="center"/>
              <w:rPr>
                <w:rFonts w:eastAsiaTheme="minorEastAsia"/>
                <w:sz w:val="18"/>
                <w:szCs w:val="18"/>
              </w:rPr>
            </w:pPr>
            <w:r>
              <w:rPr>
                <w:rFonts w:eastAsiaTheme="minorEastAsia"/>
                <w:sz w:val="18"/>
                <w:szCs w:val="18"/>
              </w:rPr>
              <w:t>判定依据</w:t>
            </w:r>
          </w:p>
        </w:tc>
        <w:tc>
          <w:tcPr>
            <w:tcW w:w="2436" w:type="dxa"/>
            <w:vMerge w:val="restart"/>
            <w:vAlign w:val="center"/>
          </w:tcPr>
          <w:p w:rsidR="004D06E9" w:rsidRDefault="009F348E">
            <w:pPr>
              <w:adjustRightInd w:val="0"/>
              <w:snapToGrid w:val="0"/>
              <w:jc w:val="center"/>
              <w:rPr>
                <w:rFonts w:eastAsiaTheme="minorEastAsia"/>
                <w:sz w:val="18"/>
                <w:szCs w:val="18"/>
              </w:rPr>
            </w:pPr>
            <w:r>
              <w:rPr>
                <w:rFonts w:eastAsiaTheme="minorEastAsia"/>
                <w:sz w:val="18"/>
                <w:szCs w:val="18"/>
              </w:rPr>
              <w:t>检检方法</w:t>
            </w:r>
          </w:p>
        </w:tc>
        <w:tc>
          <w:tcPr>
            <w:tcW w:w="1633" w:type="dxa"/>
            <w:gridSpan w:val="2"/>
          </w:tcPr>
          <w:p w:rsidR="004D06E9" w:rsidRDefault="009F348E">
            <w:pPr>
              <w:jc w:val="center"/>
              <w:rPr>
                <w:rFonts w:eastAsia="黑体" w:hAnsi="黑体"/>
                <w:sz w:val="18"/>
                <w:szCs w:val="18"/>
              </w:rPr>
            </w:pPr>
            <w:r>
              <w:rPr>
                <w:rFonts w:eastAsia="黑体" w:hAnsi="黑体" w:hint="eastAsia"/>
                <w:sz w:val="18"/>
                <w:szCs w:val="18"/>
              </w:rPr>
              <w:t>重要程度分类</w:t>
            </w:r>
          </w:p>
        </w:tc>
      </w:tr>
      <w:tr w:rsidR="004D06E9">
        <w:trPr>
          <w:trHeight w:val="207"/>
          <w:jc w:val="center"/>
        </w:trPr>
        <w:tc>
          <w:tcPr>
            <w:tcW w:w="632" w:type="dxa"/>
            <w:vMerge/>
            <w:vAlign w:val="center"/>
          </w:tcPr>
          <w:p w:rsidR="004D06E9" w:rsidRDefault="004D06E9">
            <w:pPr>
              <w:adjustRightInd w:val="0"/>
              <w:snapToGrid w:val="0"/>
              <w:jc w:val="center"/>
              <w:rPr>
                <w:rFonts w:eastAsiaTheme="minorEastAsia"/>
                <w:sz w:val="18"/>
                <w:szCs w:val="18"/>
              </w:rPr>
            </w:pPr>
          </w:p>
        </w:tc>
        <w:tc>
          <w:tcPr>
            <w:tcW w:w="1920" w:type="dxa"/>
            <w:vMerge/>
            <w:vAlign w:val="center"/>
          </w:tcPr>
          <w:p w:rsidR="004D06E9" w:rsidRDefault="004D06E9">
            <w:pPr>
              <w:adjustRightInd w:val="0"/>
              <w:snapToGrid w:val="0"/>
              <w:jc w:val="center"/>
              <w:rPr>
                <w:rFonts w:eastAsiaTheme="minorEastAsia"/>
                <w:sz w:val="18"/>
                <w:szCs w:val="18"/>
              </w:rPr>
            </w:pPr>
          </w:p>
        </w:tc>
        <w:tc>
          <w:tcPr>
            <w:tcW w:w="2232" w:type="dxa"/>
            <w:vMerge/>
            <w:vAlign w:val="center"/>
          </w:tcPr>
          <w:p w:rsidR="004D06E9" w:rsidRDefault="004D06E9">
            <w:pPr>
              <w:adjustRightInd w:val="0"/>
              <w:snapToGrid w:val="0"/>
              <w:jc w:val="center"/>
              <w:rPr>
                <w:rFonts w:eastAsiaTheme="minorEastAsia"/>
                <w:sz w:val="18"/>
                <w:szCs w:val="18"/>
              </w:rPr>
            </w:pPr>
          </w:p>
        </w:tc>
        <w:tc>
          <w:tcPr>
            <w:tcW w:w="2436" w:type="dxa"/>
            <w:vMerge/>
            <w:vAlign w:val="center"/>
          </w:tcPr>
          <w:p w:rsidR="004D06E9" w:rsidRDefault="004D06E9">
            <w:pPr>
              <w:adjustRightInd w:val="0"/>
              <w:snapToGrid w:val="0"/>
              <w:jc w:val="center"/>
              <w:rPr>
                <w:rFonts w:eastAsiaTheme="minorEastAsia"/>
                <w:sz w:val="18"/>
                <w:szCs w:val="18"/>
              </w:rPr>
            </w:pPr>
          </w:p>
        </w:tc>
        <w:tc>
          <w:tcPr>
            <w:tcW w:w="851" w:type="dxa"/>
          </w:tcPr>
          <w:p w:rsidR="004D06E9" w:rsidRDefault="009F348E">
            <w:pPr>
              <w:jc w:val="center"/>
              <w:rPr>
                <w:rFonts w:eastAsia="黑体" w:hAnsi="黑体"/>
                <w:sz w:val="18"/>
                <w:szCs w:val="18"/>
              </w:rPr>
            </w:pPr>
            <w:r>
              <w:rPr>
                <w:rFonts w:eastAsia="黑体" w:hAnsi="黑体" w:hint="eastAsia"/>
                <w:sz w:val="18"/>
                <w:szCs w:val="18"/>
              </w:rPr>
              <w:t>A</w:t>
            </w:r>
            <w:r>
              <w:rPr>
                <w:rFonts w:eastAsia="黑体" w:hAnsi="黑体" w:hint="eastAsia"/>
                <w:sz w:val="18"/>
                <w:szCs w:val="18"/>
              </w:rPr>
              <w:t>类</w:t>
            </w:r>
            <w:r>
              <w:rPr>
                <w:rFonts w:eastAsia="黑体" w:hAnsi="黑体" w:hint="eastAsia"/>
                <w:sz w:val="18"/>
                <w:szCs w:val="18"/>
                <w:vertAlign w:val="superscript"/>
              </w:rPr>
              <w:t>a</w:t>
            </w:r>
          </w:p>
        </w:tc>
        <w:tc>
          <w:tcPr>
            <w:tcW w:w="782" w:type="dxa"/>
          </w:tcPr>
          <w:p w:rsidR="004D06E9" w:rsidRDefault="009F348E">
            <w:pPr>
              <w:jc w:val="center"/>
              <w:rPr>
                <w:rFonts w:eastAsia="黑体" w:hAnsi="黑体"/>
                <w:sz w:val="18"/>
                <w:szCs w:val="18"/>
              </w:rPr>
            </w:pPr>
            <w:r>
              <w:rPr>
                <w:rFonts w:eastAsia="黑体" w:hAnsi="黑体" w:hint="eastAsia"/>
                <w:sz w:val="18"/>
                <w:szCs w:val="18"/>
              </w:rPr>
              <w:t>B</w:t>
            </w:r>
            <w:r>
              <w:rPr>
                <w:rFonts w:eastAsia="黑体" w:hAnsi="黑体" w:hint="eastAsia"/>
                <w:sz w:val="18"/>
                <w:szCs w:val="18"/>
              </w:rPr>
              <w:t>类</w:t>
            </w:r>
            <w:r>
              <w:rPr>
                <w:rFonts w:eastAsia="黑体" w:hAnsi="黑体" w:hint="eastAsia"/>
                <w:sz w:val="18"/>
                <w:szCs w:val="18"/>
                <w:vertAlign w:val="superscript"/>
              </w:rPr>
              <w:t>b</w:t>
            </w:r>
          </w:p>
        </w:tc>
      </w:tr>
      <w:tr w:rsidR="004D06E9">
        <w:trPr>
          <w:trHeight w:val="331"/>
          <w:jc w:val="center"/>
        </w:trPr>
        <w:tc>
          <w:tcPr>
            <w:tcW w:w="632" w:type="dxa"/>
            <w:vAlign w:val="center"/>
          </w:tcPr>
          <w:p w:rsidR="004D06E9" w:rsidRDefault="009F348E">
            <w:pPr>
              <w:widowControl/>
              <w:spacing w:line="300" w:lineRule="auto"/>
              <w:ind w:right="200"/>
              <w:jc w:val="center"/>
              <w:rPr>
                <w:rFonts w:eastAsiaTheme="minorEastAsia"/>
                <w:sz w:val="18"/>
                <w:szCs w:val="18"/>
              </w:rPr>
            </w:pPr>
            <w:r>
              <w:rPr>
                <w:rFonts w:eastAsiaTheme="minorEastAsia"/>
                <w:sz w:val="18"/>
                <w:szCs w:val="18"/>
              </w:rPr>
              <w:t xml:space="preserve">  1</w:t>
            </w:r>
          </w:p>
        </w:tc>
        <w:tc>
          <w:tcPr>
            <w:tcW w:w="1920" w:type="dxa"/>
            <w:vAlign w:val="center"/>
          </w:tcPr>
          <w:p w:rsidR="004D06E9" w:rsidRDefault="009F348E">
            <w:pPr>
              <w:widowControl/>
              <w:ind w:right="198"/>
              <w:jc w:val="center"/>
              <w:rPr>
                <w:rFonts w:eastAsiaTheme="minorEastAsia"/>
                <w:sz w:val="18"/>
                <w:szCs w:val="18"/>
              </w:rPr>
            </w:pPr>
            <w:r>
              <w:rPr>
                <w:rFonts w:eastAsiaTheme="minorEastAsia"/>
                <w:sz w:val="18"/>
                <w:szCs w:val="18"/>
              </w:rPr>
              <w:t>表观密度</w:t>
            </w:r>
          </w:p>
        </w:tc>
        <w:tc>
          <w:tcPr>
            <w:tcW w:w="2232" w:type="dxa"/>
            <w:vAlign w:val="center"/>
          </w:tcPr>
          <w:p w:rsidR="004D06E9" w:rsidRDefault="009F348E">
            <w:pPr>
              <w:jc w:val="center"/>
              <w:rPr>
                <w:rFonts w:eastAsiaTheme="minorEastAsia"/>
                <w:sz w:val="18"/>
                <w:szCs w:val="18"/>
              </w:rPr>
            </w:pPr>
            <w:r>
              <w:rPr>
                <w:rFonts w:eastAsiaTheme="minorEastAsia"/>
                <w:sz w:val="18"/>
                <w:szCs w:val="18"/>
              </w:rPr>
              <w:t>GB/T 10801.1-2002</w:t>
            </w:r>
          </w:p>
        </w:tc>
        <w:tc>
          <w:tcPr>
            <w:tcW w:w="2436" w:type="dxa"/>
            <w:vAlign w:val="center"/>
          </w:tcPr>
          <w:p w:rsidR="004D06E9" w:rsidRDefault="009F348E">
            <w:pPr>
              <w:jc w:val="center"/>
              <w:rPr>
                <w:rFonts w:eastAsiaTheme="minorEastAsia"/>
                <w:sz w:val="18"/>
                <w:szCs w:val="18"/>
              </w:rPr>
            </w:pPr>
            <w:r>
              <w:rPr>
                <w:rFonts w:eastAsiaTheme="minorEastAsia"/>
                <w:sz w:val="18"/>
                <w:szCs w:val="18"/>
              </w:rPr>
              <w:t>GB/T 6343-2009</w:t>
            </w:r>
          </w:p>
        </w:tc>
        <w:tc>
          <w:tcPr>
            <w:tcW w:w="851" w:type="dxa"/>
            <w:vAlign w:val="center"/>
          </w:tcPr>
          <w:p w:rsidR="004D06E9" w:rsidRDefault="004D06E9">
            <w:pPr>
              <w:jc w:val="center"/>
              <w:rPr>
                <w:rFonts w:eastAsiaTheme="minorEastAsia"/>
                <w:sz w:val="18"/>
                <w:szCs w:val="18"/>
              </w:rPr>
            </w:pPr>
          </w:p>
        </w:tc>
        <w:tc>
          <w:tcPr>
            <w:tcW w:w="782" w:type="dxa"/>
            <w:vAlign w:val="center"/>
          </w:tcPr>
          <w:p w:rsidR="004D06E9" w:rsidRDefault="009F348E">
            <w:pPr>
              <w:jc w:val="center"/>
              <w:rPr>
                <w:rFonts w:eastAsiaTheme="minorEastAsia"/>
                <w:sz w:val="18"/>
                <w:szCs w:val="18"/>
              </w:rPr>
            </w:pPr>
            <w:r>
              <w:rPr>
                <w:rFonts w:eastAsia="黑体" w:hint="eastAsia"/>
                <w:sz w:val="18"/>
                <w:szCs w:val="18"/>
              </w:rPr>
              <w:t>●</w:t>
            </w:r>
          </w:p>
        </w:tc>
      </w:tr>
      <w:tr w:rsidR="004D06E9">
        <w:trPr>
          <w:trHeight w:val="320"/>
          <w:jc w:val="center"/>
        </w:trPr>
        <w:tc>
          <w:tcPr>
            <w:tcW w:w="632"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2</w:t>
            </w:r>
          </w:p>
        </w:tc>
        <w:tc>
          <w:tcPr>
            <w:tcW w:w="1920"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导热系数（</w:t>
            </w:r>
            <w:r>
              <w:rPr>
                <w:rFonts w:eastAsiaTheme="minorEastAsia"/>
                <w:sz w:val="18"/>
                <w:szCs w:val="18"/>
              </w:rPr>
              <w:t>25℃</w:t>
            </w:r>
            <w:r>
              <w:rPr>
                <w:rFonts w:eastAsiaTheme="minorEastAsia"/>
                <w:sz w:val="18"/>
                <w:szCs w:val="18"/>
              </w:rPr>
              <w:t>）</w:t>
            </w:r>
          </w:p>
        </w:tc>
        <w:tc>
          <w:tcPr>
            <w:tcW w:w="2232"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GB/T 10801.1-2002</w:t>
            </w:r>
          </w:p>
        </w:tc>
        <w:tc>
          <w:tcPr>
            <w:tcW w:w="2436"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GB/T 10294-2008</w:t>
            </w:r>
          </w:p>
          <w:p w:rsidR="004D06E9" w:rsidRDefault="009F348E">
            <w:pPr>
              <w:adjustRightInd w:val="0"/>
              <w:snapToGrid w:val="0"/>
              <w:jc w:val="center"/>
              <w:rPr>
                <w:rFonts w:eastAsiaTheme="minorEastAsia"/>
                <w:sz w:val="18"/>
                <w:szCs w:val="18"/>
              </w:rPr>
            </w:pPr>
            <w:r>
              <w:rPr>
                <w:rFonts w:eastAsiaTheme="minorEastAsia"/>
                <w:sz w:val="18"/>
                <w:szCs w:val="18"/>
              </w:rPr>
              <w:lastRenderedPageBreak/>
              <w:t>GB/T 10801.1-2002</w:t>
            </w:r>
          </w:p>
        </w:tc>
        <w:tc>
          <w:tcPr>
            <w:tcW w:w="851" w:type="dxa"/>
            <w:vAlign w:val="center"/>
          </w:tcPr>
          <w:p w:rsidR="004D06E9" w:rsidRDefault="009F348E">
            <w:pPr>
              <w:adjustRightInd w:val="0"/>
              <w:snapToGrid w:val="0"/>
              <w:jc w:val="center"/>
              <w:rPr>
                <w:rFonts w:eastAsiaTheme="minorEastAsia"/>
                <w:sz w:val="18"/>
                <w:szCs w:val="18"/>
              </w:rPr>
            </w:pPr>
            <w:r>
              <w:rPr>
                <w:rFonts w:eastAsia="黑体" w:hint="eastAsia"/>
                <w:sz w:val="18"/>
                <w:szCs w:val="18"/>
              </w:rPr>
              <w:lastRenderedPageBreak/>
              <w:t>●</w:t>
            </w:r>
          </w:p>
        </w:tc>
        <w:tc>
          <w:tcPr>
            <w:tcW w:w="782" w:type="dxa"/>
            <w:vAlign w:val="center"/>
          </w:tcPr>
          <w:p w:rsidR="004D06E9" w:rsidRDefault="004D06E9">
            <w:pPr>
              <w:adjustRightInd w:val="0"/>
              <w:snapToGrid w:val="0"/>
              <w:jc w:val="center"/>
              <w:rPr>
                <w:rFonts w:eastAsiaTheme="minorEastAsia"/>
                <w:sz w:val="18"/>
                <w:szCs w:val="18"/>
              </w:rPr>
            </w:pPr>
          </w:p>
        </w:tc>
      </w:tr>
      <w:tr w:rsidR="004D06E9">
        <w:trPr>
          <w:trHeight w:val="320"/>
          <w:jc w:val="center"/>
        </w:trPr>
        <w:tc>
          <w:tcPr>
            <w:tcW w:w="632"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lastRenderedPageBreak/>
              <w:t>3</w:t>
            </w:r>
          </w:p>
        </w:tc>
        <w:tc>
          <w:tcPr>
            <w:tcW w:w="1920" w:type="dxa"/>
            <w:vAlign w:val="center"/>
          </w:tcPr>
          <w:p w:rsidR="004D06E9" w:rsidRDefault="009F348E">
            <w:pPr>
              <w:widowControl/>
              <w:ind w:right="198"/>
              <w:jc w:val="center"/>
              <w:rPr>
                <w:rFonts w:eastAsiaTheme="minorEastAsia"/>
                <w:sz w:val="18"/>
                <w:szCs w:val="18"/>
              </w:rPr>
            </w:pPr>
            <w:r>
              <w:rPr>
                <w:rFonts w:eastAsiaTheme="minorEastAsia"/>
                <w:sz w:val="18"/>
                <w:szCs w:val="18"/>
              </w:rPr>
              <w:t>氧指数</w:t>
            </w:r>
          </w:p>
        </w:tc>
        <w:tc>
          <w:tcPr>
            <w:tcW w:w="2232" w:type="dxa"/>
            <w:vAlign w:val="center"/>
          </w:tcPr>
          <w:p w:rsidR="004D06E9" w:rsidRDefault="009F348E">
            <w:pPr>
              <w:jc w:val="center"/>
              <w:rPr>
                <w:rFonts w:eastAsiaTheme="minorEastAsia"/>
                <w:sz w:val="18"/>
                <w:szCs w:val="18"/>
              </w:rPr>
            </w:pPr>
            <w:r>
              <w:rPr>
                <w:rFonts w:eastAsiaTheme="minorEastAsia"/>
                <w:sz w:val="18"/>
                <w:szCs w:val="18"/>
              </w:rPr>
              <w:t>GB/T 10801.1-2002</w:t>
            </w:r>
          </w:p>
        </w:tc>
        <w:tc>
          <w:tcPr>
            <w:tcW w:w="2436" w:type="dxa"/>
            <w:vAlign w:val="center"/>
          </w:tcPr>
          <w:p w:rsidR="004D06E9" w:rsidRDefault="009F348E">
            <w:pPr>
              <w:jc w:val="center"/>
              <w:rPr>
                <w:rFonts w:eastAsiaTheme="minorEastAsia"/>
                <w:sz w:val="18"/>
                <w:szCs w:val="18"/>
              </w:rPr>
            </w:pPr>
            <w:r>
              <w:rPr>
                <w:rFonts w:eastAsiaTheme="minorEastAsia"/>
                <w:sz w:val="18"/>
                <w:szCs w:val="18"/>
              </w:rPr>
              <w:t>GB/T 2406.2-2009</w:t>
            </w:r>
          </w:p>
        </w:tc>
        <w:tc>
          <w:tcPr>
            <w:tcW w:w="851" w:type="dxa"/>
            <w:vAlign w:val="center"/>
          </w:tcPr>
          <w:p w:rsidR="004D06E9" w:rsidRDefault="009F348E">
            <w:pPr>
              <w:jc w:val="center"/>
              <w:rPr>
                <w:rFonts w:eastAsiaTheme="minorEastAsia"/>
                <w:sz w:val="18"/>
                <w:szCs w:val="18"/>
              </w:rPr>
            </w:pPr>
            <w:r>
              <w:rPr>
                <w:rFonts w:eastAsia="黑体" w:hint="eastAsia"/>
                <w:sz w:val="18"/>
                <w:szCs w:val="18"/>
              </w:rPr>
              <w:t>●</w:t>
            </w:r>
          </w:p>
        </w:tc>
        <w:tc>
          <w:tcPr>
            <w:tcW w:w="782" w:type="dxa"/>
            <w:vAlign w:val="center"/>
          </w:tcPr>
          <w:p w:rsidR="004D06E9" w:rsidRDefault="004D06E9">
            <w:pPr>
              <w:jc w:val="center"/>
              <w:rPr>
                <w:rFonts w:eastAsiaTheme="minorEastAsia"/>
                <w:sz w:val="18"/>
                <w:szCs w:val="18"/>
              </w:rPr>
            </w:pPr>
          </w:p>
        </w:tc>
      </w:tr>
      <w:tr w:rsidR="004D06E9">
        <w:trPr>
          <w:trHeight w:val="320"/>
          <w:jc w:val="center"/>
        </w:trPr>
        <w:tc>
          <w:tcPr>
            <w:tcW w:w="632"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4</w:t>
            </w:r>
          </w:p>
        </w:tc>
        <w:tc>
          <w:tcPr>
            <w:tcW w:w="1920"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燃烧性能</w:t>
            </w:r>
          </w:p>
        </w:tc>
        <w:tc>
          <w:tcPr>
            <w:tcW w:w="2232"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GB/T 10801.1-2002</w:t>
            </w:r>
          </w:p>
        </w:tc>
        <w:tc>
          <w:tcPr>
            <w:tcW w:w="2436"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GB 8624-2012</w:t>
            </w:r>
          </w:p>
          <w:p w:rsidR="004D06E9" w:rsidRDefault="009F348E">
            <w:pPr>
              <w:adjustRightInd w:val="0"/>
              <w:snapToGrid w:val="0"/>
              <w:jc w:val="center"/>
              <w:rPr>
                <w:rFonts w:eastAsiaTheme="minorEastAsia"/>
                <w:sz w:val="18"/>
                <w:szCs w:val="18"/>
              </w:rPr>
            </w:pPr>
            <w:r>
              <w:rPr>
                <w:rFonts w:eastAsiaTheme="minorEastAsia"/>
                <w:sz w:val="18"/>
                <w:szCs w:val="18"/>
              </w:rPr>
              <w:t xml:space="preserve"> GB/T 10801.1-2002</w:t>
            </w:r>
          </w:p>
        </w:tc>
        <w:tc>
          <w:tcPr>
            <w:tcW w:w="851" w:type="dxa"/>
            <w:vAlign w:val="center"/>
          </w:tcPr>
          <w:p w:rsidR="004D06E9" w:rsidRDefault="009F348E">
            <w:pPr>
              <w:adjustRightInd w:val="0"/>
              <w:snapToGrid w:val="0"/>
              <w:jc w:val="center"/>
              <w:rPr>
                <w:rFonts w:eastAsiaTheme="minorEastAsia"/>
                <w:sz w:val="18"/>
                <w:szCs w:val="18"/>
              </w:rPr>
            </w:pPr>
            <w:r>
              <w:rPr>
                <w:rFonts w:eastAsia="黑体" w:hint="eastAsia"/>
                <w:sz w:val="18"/>
                <w:szCs w:val="18"/>
              </w:rPr>
              <w:t>●</w:t>
            </w:r>
          </w:p>
        </w:tc>
        <w:tc>
          <w:tcPr>
            <w:tcW w:w="782" w:type="dxa"/>
            <w:vAlign w:val="center"/>
          </w:tcPr>
          <w:p w:rsidR="004D06E9" w:rsidRDefault="004D06E9">
            <w:pPr>
              <w:adjustRightInd w:val="0"/>
              <w:snapToGrid w:val="0"/>
              <w:jc w:val="center"/>
              <w:rPr>
                <w:rFonts w:eastAsiaTheme="minorEastAsia"/>
                <w:sz w:val="18"/>
                <w:szCs w:val="18"/>
              </w:rPr>
            </w:pPr>
          </w:p>
        </w:tc>
      </w:tr>
      <w:tr w:rsidR="004D06E9">
        <w:trPr>
          <w:trHeight w:val="429"/>
          <w:jc w:val="center"/>
        </w:trPr>
        <w:tc>
          <w:tcPr>
            <w:tcW w:w="632"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5</w:t>
            </w:r>
          </w:p>
        </w:tc>
        <w:tc>
          <w:tcPr>
            <w:tcW w:w="1920"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压缩强度</w:t>
            </w:r>
          </w:p>
        </w:tc>
        <w:tc>
          <w:tcPr>
            <w:tcW w:w="2232"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GB/T 10801.1-2002</w:t>
            </w:r>
          </w:p>
        </w:tc>
        <w:tc>
          <w:tcPr>
            <w:tcW w:w="2436" w:type="dxa"/>
            <w:vAlign w:val="center"/>
          </w:tcPr>
          <w:p w:rsidR="004D06E9" w:rsidRDefault="009F348E">
            <w:pPr>
              <w:adjustRightInd w:val="0"/>
              <w:snapToGrid w:val="0"/>
              <w:jc w:val="center"/>
              <w:rPr>
                <w:rFonts w:eastAsiaTheme="minorEastAsia"/>
                <w:sz w:val="18"/>
                <w:szCs w:val="18"/>
              </w:rPr>
            </w:pPr>
            <w:r>
              <w:rPr>
                <w:rFonts w:eastAsiaTheme="minorEastAsia"/>
                <w:sz w:val="18"/>
                <w:szCs w:val="18"/>
              </w:rPr>
              <w:t>GB/T 8813-2008</w:t>
            </w:r>
          </w:p>
          <w:p w:rsidR="004D06E9" w:rsidRDefault="009F348E">
            <w:pPr>
              <w:adjustRightInd w:val="0"/>
              <w:snapToGrid w:val="0"/>
              <w:jc w:val="center"/>
              <w:rPr>
                <w:rFonts w:eastAsiaTheme="minorEastAsia"/>
                <w:sz w:val="18"/>
                <w:szCs w:val="18"/>
              </w:rPr>
            </w:pPr>
            <w:r>
              <w:rPr>
                <w:rFonts w:eastAsiaTheme="minorEastAsia"/>
                <w:sz w:val="18"/>
                <w:szCs w:val="18"/>
              </w:rPr>
              <w:t>GB/T 10801.1-2002</w:t>
            </w:r>
          </w:p>
        </w:tc>
        <w:tc>
          <w:tcPr>
            <w:tcW w:w="851" w:type="dxa"/>
            <w:vAlign w:val="center"/>
          </w:tcPr>
          <w:p w:rsidR="004D06E9" w:rsidRDefault="004D06E9">
            <w:pPr>
              <w:adjustRightInd w:val="0"/>
              <w:snapToGrid w:val="0"/>
              <w:jc w:val="center"/>
              <w:rPr>
                <w:rFonts w:eastAsiaTheme="minorEastAsia"/>
                <w:sz w:val="18"/>
                <w:szCs w:val="18"/>
              </w:rPr>
            </w:pPr>
          </w:p>
        </w:tc>
        <w:tc>
          <w:tcPr>
            <w:tcW w:w="782" w:type="dxa"/>
            <w:vAlign w:val="center"/>
          </w:tcPr>
          <w:p w:rsidR="004D06E9" w:rsidRDefault="009F348E">
            <w:pPr>
              <w:adjustRightInd w:val="0"/>
              <w:snapToGrid w:val="0"/>
              <w:jc w:val="center"/>
              <w:rPr>
                <w:rFonts w:eastAsiaTheme="minorEastAsia"/>
                <w:sz w:val="18"/>
                <w:szCs w:val="18"/>
              </w:rPr>
            </w:pPr>
            <w:r>
              <w:rPr>
                <w:rFonts w:eastAsia="黑体" w:hint="eastAsia"/>
                <w:sz w:val="18"/>
                <w:szCs w:val="18"/>
              </w:rPr>
              <w:t>●</w:t>
            </w:r>
          </w:p>
        </w:tc>
      </w:tr>
      <w:tr w:rsidR="004D06E9">
        <w:trPr>
          <w:trHeight w:val="429"/>
          <w:jc w:val="center"/>
        </w:trPr>
        <w:tc>
          <w:tcPr>
            <w:tcW w:w="8853" w:type="dxa"/>
            <w:gridSpan w:val="6"/>
            <w:vAlign w:val="center"/>
          </w:tcPr>
          <w:p w:rsidR="004D06E9" w:rsidRDefault="009F348E">
            <w:pPr>
              <w:snapToGrid w:val="0"/>
              <w:jc w:val="left"/>
              <w:rPr>
                <w:rFonts w:eastAsia="黑体"/>
                <w:sz w:val="18"/>
                <w:szCs w:val="18"/>
              </w:rPr>
            </w:pPr>
            <w:r>
              <w:rPr>
                <w:rFonts w:eastAsia="黑体"/>
                <w:sz w:val="18"/>
                <w:szCs w:val="18"/>
              </w:rPr>
              <w:t>a</w:t>
            </w:r>
            <w:r>
              <w:rPr>
                <w:rFonts w:eastAsia="黑体" w:hint="eastAsia"/>
                <w:sz w:val="18"/>
                <w:szCs w:val="18"/>
              </w:rPr>
              <w:t>极重要质量项目</w:t>
            </w:r>
          </w:p>
          <w:p w:rsidR="004D06E9" w:rsidRDefault="009F348E">
            <w:pPr>
              <w:adjustRightInd w:val="0"/>
              <w:snapToGrid w:val="0"/>
              <w:rPr>
                <w:rFonts w:eastAsia="黑体"/>
                <w:sz w:val="18"/>
                <w:szCs w:val="18"/>
              </w:rPr>
            </w:pPr>
            <w:r>
              <w:rPr>
                <w:rFonts w:eastAsia="黑体"/>
                <w:sz w:val="18"/>
                <w:szCs w:val="18"/>
              </w:rPr>
              <w:t>b</w:t>
            </w:r>
            <w:r>
              <w:rPr>
                <w:rFonts w:eastAsia="黑体" w:hint="eastAsia"/>
                <w:sz w:val="18"/>
                <w:szCs w:val="18"/>
              </w:rPr>
              <w:t>重要质量项目</w:t>
            </w:r>
          </w:p>
        </w:tc>
      </w:tr>
    </w:tbl>
    <w:p w:rsidR="004D06E9" w:rsidRDefault="009F348E">
      <w:pPr>
        <w:snapToGrid w:val="0"/>
        <w:spacing w:line="360" w:lineRule="auto"/>
        <w:ind w:firstLineChars="200" w:firstLine="360"/>
        <w:rPr>
          <w:bCs/>
          <w:color w:val="000000"/>
          <w:sz w:val="18"/>
          <w:szCs w:val="18"/>
        </w:rPr>
      </w:pPr>
      <w:r>
        <w:rPr>
          <w:rFonts w:hint="eastAsia"/>
          <w:bCs/>
          <w:color w:val="000000"/>
          <w:sz w:val="18"/>
          <w:szCs w:val="18"/>
        </w:rPr>
        <w:t>注：上表所列检验项目是有关法律法规、标准等规定的，重点涉及健康、安全、节能、环保以及消费者、有关组织反映有质量问题的重要项目。</w:t>
      </w:r>
    </w:p>
    <w:p w:rsidR="004D06E9" w:rsidRDefault="009F348E">
      <w:pPr>
        <w:snapToGrid w:val="0"/>
        <w:spacing w:line="360" w:lineRule="auto"/>
        <w:ind w:firstLineChars="200" w:firstLine="420"/>
        <w:rPr>
          <w:color w:val="000000"/>
          <w:szCs w:val="21"/>
        </w:rPr>
      </w:pPr>
      <w:r>
        <w:rPr>
          <w:color w:val="000000"/>
          <w:szCs w:val="21"/>
        </w:rPr>
        <w:t>检验方法包括相关产品标准及试验方法标准。</w:t>
      </w:r>
    </w:p>
    <w:p w:rsidR="004D06E9" w:rsidRDefault="009F348E">
      <w:pPr>
        <w:snapToGrid w:val="0"/>
        <w:spacing w:line="360" w:lineRule="auto"/>
        <w:ind w:firstLineChars="200" w:firstLine="420"/>
        <w:rPr>
          <w:color w:val="000000"/>
          <w:szCs w:val="21"/>
        </w:rPr>
      </w:pPr>
      <w:r>
        <w:t>凡是注日期的文件，其随后所有的修改单（不包括勘误的内容）或修订版不适用于本细则。</w:t>
      </w:r>
      <w:r>
        <w:rPr>
          <w:color w:val="000000"/>
          <w:szCs w:val="21"/>
        </w:rPr>
        <w:t>凡是不注日期的文件，其最新版本适用于本细则。</w:t>
      </w:r>
    </w:p>
    <w:p w:rsidR="004D06E9" w:rsidRDefault="004D06E9">
      <w:pPr>
        <w:snapToGrid w:val="0"/>
        <w:spacing w:line="360" w:lineRule="auto"/>
        <w:rPr>
          <w:rFonts w:eastAsia="黑体"/>
          <w:b/>
          <w:color w:val="000000"/>
          <w:szCs w:val="21"/>
        </w:rPr>
      </w:pPr>
    </w:p>
    <w:p w:rsidR="004D06E9" w:rsidRDefault="009F348E">
      <w:pPr>
        <w:snapToGrid w:val="0"/>
        <w:spacing w:line="360" w:lineRule="auto"/>
        <w:rPr>
          <w:rFonts w:eastAsia="黑体"/>
          <w:b/>
          <w:color w:val="000000"/>
          <w:szCs w:val="21"/>
        </w:rPr>
      </w:pPr>
      <w:r>
        <w:rPr>
          <w:rFonts w:eastAsia="黑体"/>
          <w:b/>
          <w:color w:val="000000"/>
          <w:szCs w:val="21"/>
        </w:rPr>
        <w:t xml:space="preserve">3  </w:t>
      </w:r>
      <w:r>
        <w:rPr>
          <w:rFonts w:eastAsia="黑体"/>
          <w:b/>
          <w:color w:val="000000"/>
          <w:szCs w:val="21"/>
        </w:rPr>
        <w:t>判定规则</w:t>
      </w:r>
    </w:p>
    <w:p w:rsidR="004D06E9" w:rsidRDefault="009F348E">
      <w:pPr>
        <w:snapToGrid w:val="0"/>
        <w:spacing w:line="360" w:lineRule="auto"/>
        <w:rPr>
          <w:b/>
          <w:color w:val="000000"/>
          <w:szCs w:val="21"/>
        </w:rPr>
      </w:pPr>
      <w:r>
        <w:rPr>
          <w:b/>
          <w:color w:val="000000"/>
          <w:szCs w:val="21"/>
        </w:rPr>
        <w:t>3.1</w:t>
      </w:r>
      <w:r>
        <w:rPr>
          <w:b/>
          <w:color w:val="000000"/>
          <w:szCs w:val="21"/>
        </w:rPr>
        <w:t>依据标准</w:t>
      </w:r>
    </w:p>
    <w:p w:rsidR="004D06E9" w:rsidRDefault="009F348E">
      <w:pPr>
        <w:spacing w:line="440" w:lineRule="exact"/>
        <w:ind w:firstLine="420"/>
        <w:rPr>
          <w:color w:val="000000"/>
          <w:szCs w:val="21"/>
        </w:rPr>
      </w:pPr>
      <w:r>
        <w:t xml:space="preserve">GB 8624 -2012       </w:t>
      </w:r>
      <w:r>
        <w:t>建筑材料及制品燃烧性能分级</w:t>
      </w:r>
    </w:p>
    <w:p w:rsidR="004D06E9" w:rsidRDefault="009F348E">
      <w:pPr>
        <w:snapToGrid w:val="0"/>
        <w:spacing w:line="440" w:lineRule="exact"/>
        <w:ind w:firstLineChars="200" w:firstLine="420"/>
      </w:pPr>
      <w:r>
        <w:t xml:space="preserve">GB/T 2918-2018      </w:t>
      </w:r>
      <w:r>
        <w:t>塑料试样状态调节和试验的标准环境</w:t>
      </w:r>
    </w:p>
    <w:p w:rsidR="004D06E9" w:rsidRDefault="009F348E">
      <w:pPr>
        <w:spacing w:line="440" w:lineRule="exact"/>
        <w:ind w:firstLine="420"/>
      </w:pPr>
      <w:r>
        <w:t xml:space="preserve">GB/T 8810-2005      </w:t>
      </w:r>
      <w:r>
        <w:t>硬质泡沫塑料吸水率的测定</w:t>
      </w:r>
    </w:p>
    <w:p w:rsidR="004D06E9" w:rsidRDefault="009F348E">
      <w:pPr>
        <w:spacing w:line="440" w:lineRule="exact"/>
        <w:ind w:firstLine="420"/>
      </w:pPr>
      <w:r>
        <w:t xml:space="preserve">GB/T 8811-2008      </w:t>
      </w:r>
      <w:r>
        <w:t>硬质泡沫塑料尺寸稳定试验方法</w:t>
      </w:r>
    </w:p>
    <w:p w:rsidR="004D06E9" w:rsidRDefault="009F348E">
      <w:pPr>
        <w:spacing w:line="440" w:lineRule="exact"/>
        <w:ind w:firstLine="420"/>
      </w:pPr>
      <w:r>
        <w:t xml:space="preserve">GB/T 8813-2008      </w:t>
      </w:r>
      <w:r>
        <w:t>硬质泡沫塑料</w:t>
      </w:r>
      <w:r>
        <w:t xml:space="preserve">  </w:t>
      </w:r>
      <w:r>
        <w:t>压缩性能的测定</w:t>
      </w:r>
    </w:p>
    <w:p w:rsidR="004D06E9" w:rsidRDefault="009F348E">
      <w:pPr>
        <w:snapToGrid w:val="0"/>
        <w:spacing w:line="440" w:lineRule="exact"/>
        <w:ind w:firstLineChars="200" w:firstLine="420"/>
        <w:rPr>
          <w:color w:val="000000"/>
          <w:szCs w:val="21"/>
        </w:rPr>
      </w:pPr>
      <w:r>
        <w:rPr>
          <w:color w:val="000000"/>
          <w:szCs w:val="21"/>
        </w:rPr>
        <w:t>G</w:t>
      </w:r>
      <w:r>
        <w:rPr>
          <w:color w:val="000000"/>
          <w:szCs w:val="21"/>
        </w:rPr>
        <w:t xml:space="preserve">B/T 10801.2-2018   </w:t>
      </w:r>
      <w:r>
        <w:rPr>
          <w:color w:val="000000"/>
          <w:szCs w:val="21"/>
        </w:rPr>
        <w:t>绝热用挤塑聚苯乙烯泡沫塑料</w:t>
      </w:r>
    </w:p>
    <w:p w:rsidR="004D06E9" w:rsidRDefault="009F348E">
      <w:pPr>
        <w:spacing w:line="440" w:lineRule="exact"/>
        <w:ind w:firstLine="420"/>
        <w:rPr>
          <w:color w:val="000000"/>
          <w:szCs w:val="21"/>
        </w:rPr>
      </w:pPr>
      <w:r>
        <w:rPr>
          <w:color w:val="000000"/>
          <w:szCs w:val="21"/>
        </w:rPr>
        <w:t xml:space="preserve">GB/T 10801.1-2002   </w:t>
      </w:r>
      <w:r>
        <w:rPr>
          <w:color w:val="000000"/>
          <w:szCs w:val="21"/>
        </w:rPr>
        <w:t>绝热用模塑聚苯乙烯泡沫塑料</w:t>
      </w:r>
    </w:p>
    <w:p w:rsidR="004D06E9" w:rsidRDefault="009F348E">
      <w:pPr>
        <w:spacing w:line="440" w:lineRule="exact"/>
        <w:ind w:firstLine="420"/>
      </w:pPr>
      <w:r>
        <w:t xml:space="preserve">GB/T 10294-2008     </w:t>
      </w:r>
      <w:r>
        <w:t>绝热材料稳态热阻及有关特性的测定</w:t>
      </w:r>
      <w:r>
        <w:t xml:space="preserve">  </w:t>
      </w:r>
      <w:r>
        <w:t>防护热板法</w:t>
      </w:r>
    </w:p>
    <w:p w:rsidR="004D06E9" w:rsidRDefault="009F348E">
      <w:pPr>
        <w:spacing w:line="440" w:lineRule="exact"/>
        <w:ind w:firstLine="420"/>
      </w:pPr>
      <w:r>
        <w:t xml:space="preserve">QB/T 2411-1998      </w:t>
      </w:r>
      <w:r>
        <w:t>硬质泡沫塑料水蒸气透过性能的测定</w:t>
      </w:r>
    </w:p>
    <w:p w:rsidR="004D06E9" w:rsidRDefault="009F348E">
      <w:pPr>
        <w:spacing w:line="440" w:lineRule="exact"/>
        <w:ind w:firstLine="420"/>
      </w:pPr>
      <w:r>
        <w:t>相关的法律法规、部门规章和规范</w:t>
      </w:r>
    </w:p>
    <w:p w:rsidR="004D06E9" w:rsidRDefault="009F348E">
      <w:pPr>
        <w:spacing w:line="440" w:lineRule="exact"/>
        <w:ind w:firstLine="420"/>
      </w:pPr>
      <w:r>
        <w:t>经备案现行有效的企业标准及产品明示质量要求</w:t>
      </w:r>
    </w:p>
    <w:p w:rsidR="004D06E9" w:rsidRDefault="009F348E">
      <w:pPr>
        <w:spacing w:line="440" w:lineRule="exact"/>
        <w:rPr>
          <w:b/>
        </w:rPr>
      </w:pPr>
      <w:r>
        <w:rPr>
          <w:b/>
        </w:rPr>
        <w:t>3.2</w:t>
      </w:r>
      <w:r>
        <w:rPr>
          <w:b/>
        </w:rPr>
        <w:t>判定原则</w:t>
      </w:r>
    </w:p>
    <w:p w:rsidR="004D06E9" w:rsidRDefault="009F348E">
      <w:pPr>
        <w:spacing w:line="440" w:lineRule="exact"/>
        <w:ind w:firstLine="420"/>
      </w:pPr>
      <w:r>
        <w:t>经检验，检验项目全部合格，判定为被抽查产品合格；检验项目中任一项或一项以上不合格，判定为被抽查产品不合格。</w:t>
      </w:r>
      <w:r>
        <w:rPr>
          <w:rFonts w:hAnsi="宋体" w:hint="eastAsia"/>
          <w:color w:val="000000"/>
          <w:szCs w:val="21"/>
        </w:rPr>
        <w:t>当产品存在</w:t>
      </w:r>
      <w:r>
        <w:rPr>
          <w:rFonts w:hAnsi="宋体" w:hint="eastAsia"/>
          <w:color w:val="000000"/>
          <w:szCs w:val="21"/>
        </w:rPr>
        <w:t>A</w:t>
      </w:r>
      <w:r>
        <w:rPr>
          <w:rFonts w:hAnsi="宋体" w:hint="eastAsia"/>
          <w:color w:val="000000"/>
          <w:szCs w:val="21"/>
        </w:rPr>
        <w:t>类项目不合格时，属于严重不合格。</w:t>
      </w:r>
    </w:p>
    <w:p w:rsidR="004D06E9" w:rsidRDefault="009F348E" w:rsidP="0034681A">
      <w:pPr>
        <w:snapToGrid w:val="0"/>
        <w:spacing w:line="440" w:lineRule="exact"/>
        <w:ind w:firstLineChars="199" w:firstLine="418"/>
        <w:rPr>
          <w:color w:val="000000"/>
          <w:szCs w:val="21"/>
        </w:rPr>
      </w:pPr>
      <w:r>
        <w:rPr>
          <w:szCs w:val="21"/>
        </w:rPr>
        <w:t>若被检产品明示的质量要求高于本细则中检验项目依据的标准要求时，应按</w:t>
      </w:r>
      <w:r>
        <w:rPr>
          <w:color w:val="000000"/>
          <w:szCs w:val="21"/>
        </w:rPr>
        <w:t>被检产品明示的质量要求判定。</w:t>
      </w:r>
    </w:p>
    <w:p w:rsidR="004D06E9" w:rsidRDefault="009F348E" w:rsidP="0034681A">
      <w:pPr>
        <w:snapToGrid w:val="0"/>
        <w:spacing w:line="440" w:lineRule="exact"/>
        <w:ind w:firstLineChars="199" w:firstLine="418"/>
        <w:rPr>
          <w:color w:val="000000"/>
          <w:szCs w:val="21"/>
        </w:rPr>
      </w:pPr>
      <w:r>
        <w:rPr>
          <w:color w:val="000000"/>
          <w:szCs w:val="21"/>
        </w:rPr>
        <w:t>若被检产品明示的质量要求低于本细则中检验项目依据的强制性标准要求时，应按照强制性标准要求判定。</w:t>
      </w:r>
    </w:p>
    <w:p w:rsidR="004D06E9" w:rsidRDefault="009F348E" w:rsidP="0034681A">
      <w:pPr>
        <w:snapToGrid w:val="0"/>
        <w:spacing w:line="440" w:lineRule="exact"/>
        <w:ind w:firstLineChars="199" w:firstLine="418"/>
        <w:rPr>
          <w:color w:val="000000"/>
          <w:szCs w:val="21"/>
        </w:rPr>
      </w:pPr>
      <w:r>
        <w:rPr>
          <w:color w:val="000000"/>
          <w:szCs w:val="21"/>
        </w:rPr>
        <w:t>若被检产品明示的质量要求低于或包含细则中检验项目依据的推荐性标准要求时，应以被检产品明示的质量要求判定，但应在检验报告备注中进行说明。</w:t>
      </w:r>
    </w:p>
    <w:p w:rsidR="004D06E9" w:rsidRDefault="009F348E" w:rsidP="0034681A">
      <w:pPr>
        <w:snapToGrid w:val="0"/>
        <w:spacing w:line="440" w:lineRule="exact"/>
        <w:ind w:firstLineChars="199" w:firstLine="418"/>
        <w:rPr>
          <w:color w:val="000000"/>
          <w:szCs w:val="21"/>
        </w:rPr>
      </w:pPr>
      <w:r>
        <w:rPr>
          <w:color w:val="000000"/>
          <w:szCs w:val="21"/>
        </w:rPr>
        <w:lastRenderedPageBreak/>
        <w:t>若被检产品明示的质量要求缺少本细则中检验项目依据的强制性标准要求时，应按照强制性标准要求判定。</w:t>
      </w:r>
    </w:p>
    <w:p w:rsidR="004D06E9" w:rsidRDefault="009F348E" w:rsidP="0034681A">
      <w:pPr>
        <w:snapToGrid w:val="0"/>
        <w:spacing w:line="360" w:lineRule="auto"/>
        <w:ind w:firstLineChars="199" w:firstLine="418"/>
        <w:rPr>
          <w:color w:val="000000"/>
          <w:szCs w:val="21"/>
        </w:rPr>
      </w:pPr>
      <w:r>
        <w:rPr>
          <w:color w:val="000000"/>
          <w:szCs w:val="21"/>
        </w:rPr>
        <w:t>若被检产品明示的质量要求缺少本细则中检验项目依据的推荐性标准要求时，该项目不参与判定，但应在检验报告备注中进行说明。</w:t>
      </w:r>
    </w:p>
    <w:p w:rsidR="004D06E9" w:rsidRDefault="004D06E9">
      <w:pPr>
        <w:snapToGrid w:val="0"/>
        <w:spacing w:line="360" w:lineRule="auto"/>
      </w:pPr>
    </w:p>
    <w:p w:rsidR="004D06E9" w:rsidRDefault="009F348E">
      <w:pPr>
        <w:snapToGrid w:val="0"/>
        <w:spacing w:line="360" w:lineRule="auto"/>
        <w:rPr>
          <w:szCs w:val="21"/>
        </w:rPr>
      </w:pPr>
      <w:r>
        <w:rPr>
          <w:rFonts w:eastAsia="黑体"/>
          <w:b/>
          <w:szCs w:val="21"/>
          <w:lang/>
        </w:rPr>
        <w:t xml:space="preserve">4 </w:t>
      </w:r>
      <w:r>
        <w:rPr>
          <w:rFonts w:ascii="黑体" w:eastAsia="黑体" w:hAnsi="宋体" w:cs="黑体" w:hint="eastAsia"/>
          <w:b/>
          <w:szCs w:val="21"/>
          <w:lang/>
        </w:rPr>
        <w:t>异议处理</w:t>
      </w:r>
    </w:p>
    <w:p w:rsidR="004D06E9" w:rsidRDefault="009F348E">
      <w:pPr>
        <w:snapToGrid w:val="0"/>
        <w:spacing w:line="360" w:lineRule="auto"/>
        <w:ind w:firstLineChars="200" w:firstLine="420"/>
        <w:rPr>
          <w:rFonts w:eastAsia="黑体"/>
          <w:b/>
          <w:szCs w:val="21"/>
        </w:rPr>
      </w:pPr>
      <w:r>
        <w:rPr>
          <w:rFonts w:ascii="宋体" w:hAnsi="宋体" w:cs="宋体" w:hint="eastAsia"/>
          <w:color w:val="000000"/>
          <w:szCs w:val="21"/>
          <w:lang/>
        </w:rPr>
        <w:t>对判定不合格产品进行异议处理时，按以下方式进行：</w:t>
      </w:r>
      <w:r>
        <w:rPr>
          <w:color w:val="000000"/>
          <w:szCs w:val="21"/>
          <w:lang/>
        </w:rPr>
        <w:br/>
      </w:r>
      <w:r>
        <w:rPr>
          <w:b/>
          <w:color w:val="000000"/>
          <w:szCs w:val="21"/>
          <w:lang/>
        </w:rPr>
        <w:t>4.1</w:t>
      </w:r>
      <w:r>
        <w:rPr>
          <w:rFonts w:ascii="宋体" w:hAnsi="宋体" w:cs="宋体" w:hint="eastAsia"/>
          <w:color w:val="000000"/>
          <w:szCs w:val="21"/>
          <w:lang/>
        </w:rPr>
        <w:t>市场监管部门负责接收、审核异议申请材料，对于同意复检的，通知检测机构复检。</w:t>
      </w:r>
      <w:r>
        <w:rPr>
          <w:color w:val="000000"/>
          <w:szCs w:val="21"/>
          <w:lang/>
        </w:rPr>
        <w:br/>
      </w:r>
      <w:r>
        <w:rPr>
          <w:b/>
          <w:color w:val="000000"/>
          <w:szCs w:val="21"/>
          <w:lang/>
        </w:rPr>
        <w:t>4.2</w:t>
      </w:r>
      <w:r>
        <w:rPr>
          <w:rFonts w:ascii="宋体" w:hAnsi="宋体" w:cs="宋体" w:hint="eastAsia"/>
          <w:color w:val="000000"/>
          <w:szCs w:val="21"/>
          <w:lang/>
        </w:rPr>
        <w:t>检测机构通知异议申请人相关复检的安排。</w:t>
      </w:r>
      <w:r>
        <w:rPr>
          <w:color w:val="000000"/>
          <w:szCs w:val="21"/>
          <w:lang/>
        </w:rPr>
        <w:br/>
      </w:r>
      <w:r>
        <w:rPr>
          <w:b/>
          <w:color w:val="000000"/>
          <w:szCs w:val="21"/>
          <w:lang/>
        </w:rPr>
        <w:t>4.3</w:t>
      </w:r>
      <w:r>
        <w:rPr>
          <w:rFonts w:ascii="宋体" w:hAnsi="宋体" w:cs="宋体" w:hint="eastAsia"/>
          <w:color w:val="000000"/>
          <w:szCs w:val="21"/>
          <w:lang/>
        </w:rPr>
        <w:t>检测机构按照实施细则对异议项目进行复检，复检结论为异议处理的最终结论。</w:t>
      </w:r>
      <w:r>
        <w:rPr>
          <w:color w:val="000000"/>
          <w:szCs w:val="21"/>
          <w:lang/>
        </w:rPr>
        <w:br/>
      </w:r>
      <w:r>
        <w:rPr>
          <w:b/>
          <w:color w:val="000000"/>
          <w:szCs w:val="21"/>
          <w:lang/>
        </w:rPr>
        <w:t>4.4</w:t>
      </w:r>
      <w:r>
        <w:rPr>
          <w:rFonts w:ascii="宋体" w:hAnsi="宋体" w:cs="宋体" w:hint="eastAsia"/>
          <w:color w:val="000000"/>
          <w:szCs w:val="21"/>
          <w:lang/>
        </w:rPr>
        <w:t>市场监管部门将复检</w:t>
      </w:r>
      <w:bookmarkStart w:id="0" w:name="_GoBack"/>
      <w:bookmarkEnd w:id="0"/>
      <w:r>
        <w:rPr>
          <w:rFonts w:ascii="宋体" w:hAnsi="宋体" w:cs="宋体" w:hint="eastAsia"/>
          <w:color w:val="000000"/>
          <w:szCs w:val="21"/>
          <w:lang/>
        </w:rPr>
        <w:t>相关文书递送异议申请人。</w:t>
      </w:r>
    </w:p>
    <w:p w:rsidR="004D06E9" w:rsidRDefault="004D06E9">
      <w:r w:rsidRPr="004D06E9">
        <w:rPr>
          <w:color w:val="000000"/>
          <w:szCs w:val="21"/>
        </w:rPr>
        <w:pict>
          <v:shapetype id="_x0000_t32" coordsize="21600,21600" o:spt="32" o:oned="t" path="m,l21600,21600e" filled="f">
            <v:path arrowok="t" fillok="f" o:connecttype="none"/>
            <o:lock v:ext="edit" shapetype="t"/>
          </v:shapetype>
          <v:shape id="_x0000_s1031" type="#_x0000_t32" style="position:absolute;left:0;text-align:left;margin-left:107.15pt;margin-top:8.1pt;width:171pt;height:0;z-index:251661312" o:connectortype="straight" strokeweight=".25pt"/>
        </w:pict>
      </w:r>
    </w:p>
    <w:sectPr w:rsidR="004D06E9" w:rsidSect="004D06E9">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48E" w:rsidRDefault="009F348E" w:rsidP="004D06E9">
      <w:r>
        <w:separator/>
      </w:r>
    </w:p>
  </w:endnote>
  <w:endnote w:type="continuationSeparator" w:id="1">
    <w:p w:rsidR="009F348E" w:rsidRDefault="009F348E" w:rsidP="004D0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6E9" w:rsidRDefault="004D06E9">
    <w:pPr>
      <w:pStyle w:val="a7"/>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4D06E9" w:rsidRDefault="004D06E9">
                <w:pPr>
                  <w:pStyle w:val="a7"/>
                </w:pPr>
                <w:r>
                  <w:rPr>
                    <w:rFonts w:hint="eastAsia"/>
                  </w:rPr>
                  <w:fldChar w:fldCharType="begin"/>
                </w:r>
                <w:r w:rsidR="009F348E">
                  <w:rPr>
                    <w:rFonts w:hint="eastAsia"/>
                  </w:rPr>
                  <w:instrText xml:space="preserve"> PAGE  \* MERGEFORMAT </w:instrText>
                </w:r>
                <w:r>
                  <w:rPr>
                    <w:rFonts w:hint="eastAsia"/>
                  </w:rPr>
                  <w:fldChar w:fldCharType="separate"/>
                </w:r>
                <w:r w:rsidR="0034681A">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48E" w:rsidRDefault="009F348E" w:rsidP="004D06E9">
      <w:r>
        <w:separator/>
      </w:r>
    </w:p>
  </w:footnote>
  <w:footnote w:type="continuationSeparator" w:id="1">
    <w:p w:rsidR="009F348E" w:rsidRDefault="009F348E" w:rsidP="004D06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F3EFE"/>
    <w:rsid w:val="00006EDE"/>
    <w:rsid w:val="000124CC"/>
    <w:rsid w:val="000221B0"/>
    <w:rsid w:val="00043350"/>
    <w:rsid w:val="00044351"/>
    <w:rsid w:val="00052AE9"/>
    <w:rsid w:val="00077F2C"/>
    <w:rsid w:val="0008312C"/>
    <w:rsid w:val="00083A6A"/>
    <w:rsid w:val="000921E2"/>
    <w:rsid w:val="000E1A65"/>
    <w:rsid w:val="001328C6"/>
    <w:rsid w:val="00147086"/>
    <w:rsid w:val="001555C1"/>
    <w:rsid w:val="00166017"/>
    <w:rsid w:val="0018100A"/>
    <w:rsid w:val="001817C6"/>
    <w:rsid w:val="0019422A"/>
    <w:rsid w:val="001A4703"/>
    <w:rsid w:val="001C0E53"/>
    <w:rsid w:val="001C3705"/>
    <w:rsid w:val="001D087A"/>
    <w:rsid w:val="001D6BFD"/>
    <w:rsid w:val="001E0E43"/>
    <w:rsid w:val="001E525A"/>
    <w:rsid w:val="001F3382"/>
    <w:rsid w:val="00222940"/>
    <w:rsid w:val="002316AF"/>
    <w:rsid w:val="002671A9"/>
    <w:rsid w:val="002863C7"/>
    <w:rsid w:val="002B7C48"/>
    <w:rsid w:val="002F673D"/>
    <w:rsid w:val="0032697E"/>
    <w:rsid w:val="00335E6B"/>
    <w:rsid w:val="00345FE1"/>
    <w:rsid w:val="0034681A"/>
    <w:rsid w:val="0034689C"/>
    <w:rsid w:val="0035603B"/>
    <w:rsid w:val="003634FA"/>
    <w:rsid w:val="00364441"/>
    <w:rsid w:val="00373908"/>
    <w:rsid w:val="00375606"/>
    <w:rsid w:val="00376227"/>
    <w:rsid w:val="00385AE3"/>
    <w:rsid w:val="00395026"/>
    <w:rsid w:val="003A27F0"/>
    <w:rsid w:val="003B4906"/>
    <w:rsid w:val="003D40EC"/>
    <w:rsid w:val="003E5005"/>
    <w:rsid w:val="003E5DDE"/>
    <w:rsid w:val="0040288C"/>
    <w:rsid w:val="004302B3"/>
    <w:rsid w:val="004378D7"/>
    <w:rsid w:val="00452F84"/>
    <w:rsid w:val="0045529B"/>
    <w:rsid w:val="00461365"/>
    <w:rsid w:val="00466B00"/>
    <w:rsid w:val="0049013C"/>
    <w:rsid w:val="004926F2"/>
    <w:rsid w:val="004A1E92"/>
    <w:rsid w:val="004A2B34"/>
    <w:rsid w:val="004B4454"/>
    <w:rsid w:val="004B49FA"/>
    <w:rsid w:val="004B6834"/>
    <w:rsid w:val="004C1064"/>
    <w:rsid w:val="004C1B65"/>
    <w:rsid w:val="004C78E8"/>
    <w:rsid w:val="004D06E9"/>
    <w:rsid w:val="004D36FC"/>
    <w:rsid w:val="004E07F6"/>
    <w:rsid w:val="004E3094"/>
    <w:rsid w:val="004E689F"/>
    <w:rsid w:val="004E747D"/>
    <w:rsid w:val="004F0400"/>
    <w:rsid w:val="005033D1"/>
    <w:rsid w:val="00511CE1"/>
    <w:rsid w:val="0053412C"/>
    <w:rsid w:val="00545F92"/>
    <w:rsid w:val="00556EFF"/>
    <w:rsid w:val="0055788C"/>
    <w:rsid w:val="0056050D"/>
    <w:rsid w:val="00562519"/>
    <w:rsid w:val="005815F0"/>
    <w:rsid w:val="005831DE"/>
    <w:rsid w:val="00593A02"/>
    <w:rsid w:val="005944C1"/>
    <w:rsid w:val="00597CDB"/>
    <w:rsid w:val="005A2057"/>
    <w:rsid w:val="005A2A7C"/>
    <w:rsid w:val="005A5D06"/>
    <w:rsid w:val="005D5A27"/>
    <w:rsid w:val="005D7046"/>
    <w:rsid w:val="005E3744"/>
    <w:rsid w:val="005F107F"/>
    <w:rsid w:val="005F1F50"/>
    <w:rsid w:val="00610134"/>
    <w:rsid w:val="00613D9A"/>
    <w:rsid w:val="00622145"/>
    <w:rsid w:val="0062418A"/>
    <w:rsid w:val="0062568A"/>
    <w:rsid w:val="00636807"/>
    <w:rsid w:val="00644589"/>
    <w:rsid w:val="006453CD"/>
    <w:rsid w:val="0064598B"/>
    <w:rsid w:val="00661D28"/>
    <w:rsid w:val="0067297F"/>
    <w:rsid w:val="00676A62"/>
    <w:rsid w:val="006802F7"/>
    <w:rsid w:val="00684278"/>
    <w:rsid w:val="006B3C2D"/>
    <w:rsid w:val="006B481E"/>
    <w:rsid w:val="006B74B4"/>
    <w:rsid w:val="006C2C95"/>
    <w:rsid w:val="006C5792"/>
    <w:rsid w:val="006E39AF"/>
    <w:rsid w:val="007177AE"/>
    <w:rsid w:val="0074284A"/>
    <w:rsid w:val="00750655"/>
    <w:rsid w:val="00754486"/>
    <w:rsid w:val="00756BBC"/>
    <w:rsid w:val="00761658"/>
    <w:rsid w:val="00773185"/>
    <w:rsid w:val="00773536"/>
    <w:rsid w:val="00776A9A"/>
    <w:rsid w:val="007845C4"/>
    <w:rsid w:val="007926C6"/>
    <w:rsid w:val="00797135"/>
    <w:rsid w:val="007A1276"/>
    <w:rsid w:val="007B1194"/>
    <w:rsid w:val="007B2D00"/>
    <w:rsid w:val="007B3FAE"/>
    <w:rsid w:val="007C4AD5"/>
    <w:rsid w:val="007D0EAA"/>
    <w:rsid w:val="007D44D2"/>
    <w:rsid w:val="007F5533"/>
    <w:rsid w:val="0080621C"/>
    <w:rsid w:val="0081632C"/>
    <w:rsid w:val="0082296B"/>
    <w:rsid w:val="00824222"/>
    <w:rsid w:val="00830F3F"/>
    <w:rsid w:val="0083144C"/>
    <w:rsid w:val="00831D21"/>
    <w:rsid w:val="00853FF4"/>
    <w:rsid w:val="0089774B"/>
    <w:rsid w:val="008A15D6"/>
    <w:rsid w:val="008D094D"/>
    <w:rsid w:val="008D46BC"/>
    <w:rsid w:val="008F1103"/>
    <w:rsid w:val="008F691A"/>
    <w:rsid w:val="00906D59"/>
    <w:rsid w:val="0095235F"/>
    <w:rsid w:val="0095770B"/>
    <w:rsid w:val="009671E5"/>
    <w:rsid w:val="00977DDC"/>
    <w:rsid w:val="00987077"/>
    <w:rsid w:val="00994D02"/>
    <w:rsid w:val="009A2938"/>
    <w:rsid w:val="009B0A71"/>
    <w:rsid w:val="009D2FD3"/>
    <w:rsid w:val="009D5CAF"/>
    <w:rsid w:val="009E4C44"/>
    <w:rsid w:val="009F348E"/>
    <w:rsid w:val="00A05780"/>
    <w:rsid w:val="00A23121"/>
    <w:rsid w:val="00A35F0E"/>
    <w:rsid w:val="00A47137"/>
    <w:rsid w:val="00A529C5"/>
    <w:rsid w:val="00A708EC"/>
    <w:rsid w:val="00A90E1C"/>
    <w:rsid w:val="00AA0E13"/>
    <w:rsid w:val="00AB0A91"/>
    <w:rsid w:val="00AB729F"/>
    <w:rsid w:val="00AB7895"/>
    <w:rsid w:val="00AC1749"/>
    <w:rsid w:val="00AD24EE"/>
    <w:rsid w:val="00AD4EF4"/>
    <w:rsid w:val="00B109FA"/>
    <w:rsid w:val="00B46BD5"/>
    <w:rsid w:val="00B51B34"/>
    <w:rsid w:val="00B557CC"/>
    <w:rsid w:val="00B55907"/>
    <w:rsid w:val="00B80B1D"/>
    <w:rsid w:val="00B92CEA"/>
    <w:rsid w:val="00BD1199"/>
    <w:rsid w:val="00BF28CF"/>
    <w:rsid w:val="00C062CA"/>
    <w:rsid w:val="00C074B0"/>
    <w:rsid w:val="00C33C69"/>
    <w:rsid w:val="00C343C6"/>
    <w:rsid w:val="00C472AC"/>
    <w:rsid w:val="00C54509"/>
    <w:rsid w:val="00C54801"/>
    <w:rsid w:val="00C808F2"/>
    <w:rsid w:val="00CA2474"/>
    <w:rsid w:val="00CB0151"/>
    <w:rsid w:val="00CB2600"/>
    <w:rsid w:val="00CB65CE"/>
    <w:rsid w:val="00CC5E29"/>
    <w:rsid w:val="00CC7C7E"/>
    <w:rsid w:val="00CD64AC"/>
    <w:rsid w:val="00CF11F4"/>
    <w:rsid w:val="00CF5FAF"/>
    <w:rsid w:val="00D00D55"/>
    <w:rsid w:val="00D01CBB"/>
    <w:rsid w:val="00D15719"/>
    <w:rsid w:val="00D17FCE"/>
    <w:rsid w:val="00D23710"/>
    <w:rsid w:val="00D51639"/>
    <w:rsid w:val="00D51C06"/>
    <w:rsid w:val="00D52BDC"/>
    <w:rsid w:val="00D539E3"/>
    <w:rsid w:val="00D6650A"/>
    <w:rsid w:val="00D82CF4"/>
    <w:rsid w:val="00D95ED6"/>
    <w:rsid w:val="00DA0405"/>
    <w:rsid w:val="00DB5711"/>
    <w:rsid w:val="00DC4170"/>
    <w:rsid w:val="00DC4DCC"/>
    <w:rsid w:val="00DD79A3"/>
    <w:rsid w:val="00DF6393"/>
    <w:rsid w:val="00E445A3"/>
    <w:rsid w:val="00E54739"/>
    <w:rsid w:val="00E70BA7"/>
    <w:rsid w:val="00E71440"/>
    <w:rsid w:val="00E76218"/>
    <w:rsid w:val="00E76B53"/>
    <w:rsid w:val="00E8008C"/>
    <w:rsid w:val="00E8033B"/>
    <w:rsid w:val="00E81B38"/>
    <w:rsid w:val="00E83F19"/>
    <w:rsid w:val="00E8789A"/>
    <w:rsid w:val="00EA62FD"/>
    <w:rsid w:val="00EB73CB"/>
    <w:rsid w:val="00EC0A1D"/>
    <w:rsid w:val="00EC1DA4"/>
    <w:rsid w:val="00ED5544"/>
    <w:rsid w:val="00ED57F6"/>
    <w:rsid w:val="00EF06B9"/>
    <w:rsid w:val="00F06AC9"/>
    <w:rsid w:val="00F16A1D"/>
    <w:rsid w:val="00F36674"/>
    <w:rsid w:val="00F52CE6"/>
    <w:rsid w:val="00F54FD1"/>
    <w:rsid w:val="00F613A8"/>
    <w:rsid w:val="00F65B94"/>
    <w:rsid w:val="00F97E70"/>
    <w:rsid w:val="00FA0A41"/>
    <w:rsid w:val="00FC389D"/>
    <w:rsid w:val="00FD610E"/>
    <w:rsid w:val="00FF3EFE"/>
    <w:rsid w:val="00FF59D2"/>
    <w:rsid w:val="00FF681C"/>
    <w:rsid w:val="022F0657"/>
    <w:rsid w:val="03B47BAF"/>
    <w:rsid w:val="28EE281B"/>
    <w:rsid w:val="29C905E4"/>
    <w:rsid w:val="346E029C"/>
    <w:rsid w:val="34E401B5"/>
    <w:rsid w:val="351E355E"/>
    <w:rsid w:val="3B0C53DA"/>
    <w:rsid w:val="3B80246C"/>
    <w:rsid w:val="3F63105F"/>
    <w:rsid w:val="5D717928"/>
    <w:rsid w:val="61363CC1"/>
    <w:rsid w:val="6A9B56FF"/>
    <w:rsid w:val="6E7D16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6E9"/>
    <w:pPr>
      <w:widowControl w:val="0"/>
      <w:jc w:val="both"/>
    </w:pPr>
    <w:rPr>
      <w:kern w:val="2"/>
      <w:sz w:val="21"/>
      <w:szCs w:val="24"/>
    </w:rPr>
  </w:style>
  <w:style w:type="paragraph" w:styleId="3">
    <w:name w:val="heading 3"/>
    <w:basedOn w:val="a"/>
    <w:next w:val="a"/>
    <w:link w:val="3Char"/>
    <w:uiPriority w:val="9"/>
    <w:qFormat/>
    <w:rsid w:val="004D06E9"/>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4D06E9"/>
    <w:rPr>
      <w:b/>
      <w:bCs/>
    </w:rPr>
  </w:style>
  <w:style w:type="paragraph" w:styleId="a4">
    <w:name w:val="annotation text"/>
    <w:basedOn w:val="a"/>
    <w:qFormat/>
    <w:rsid w:val="004D06E9"/>
    <w:pPr>
      <w:jc w:val="left"/>
    </w:pPr>
  </w:style>
  <w:style w:type="paragraph" w:styleId="a5">
    <w:name w:val="Body Text Indent"/>
    <w:basedOn w:val="a"/>
    <w:qFormat/>
    <w:rsid w:val="004D06E9"/>
    <w:pPr>
      <w:spacing w:after="120"/>
      <w:ind w:leftChars="200" w:left="420"/>
    </w:pPr>
  </w:style>
  <w:style w:type="paragraph" w:styleId="a6">
    <w:name w:val="Balloon Text"/>
    <w:basedOn w:val="a"/>
    <w:semiHidden/>
    <w:qFormat/>
    <w:rsid w:val="004D06E9"/>
    <w:rPr>
      <w:sz w:val="18"/>
      <w:szCs w:val="18"/>
    </w:rPr>
  </w:style>
  <w:style w:type="paragraph" w:styleId="a7">
    <w:name w:val="footer"/>
    <w:basedOn w:val="a"/>
    <w:qFormat/>
    <w:rsid w:val="004D06E9"/>
    <w:pPr>
      <w:tabs>
        <w:tab w:val="center" w:pos="4153"/>
        <w:tab w:val="right" w:pos="8306"/>
      </w:tabs>
      <w:snapToGrid w:val="0"/>
      <w:jc w:val="left"/>
    </w:pPr>
    <w:rPr>
      <w:sz w:val="18"/>
      <w:szCs w:val="18"/>
    </w:rPr>
  </w:style>
  <w:style w:type="paragraph" w:styleId="a8">
    <w:name w:val="header"/>
    <w:basedOn w:val="a"/>
    <w:qFormat/>
    <w:rsid w:val="004D06E9"/>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4D06E9"/>
    <w:pPr>
      <w:widowControl/>
      <w:spacing w:before="100" w:beforeAutospacing="1" w:after="100" w:afterAutospacing="1"/>
      <w:jc w:val="left"/>
    </w:pPr>
    <w:rPr>
      <w:rFonts w:ascii="Arial" w:hAnsi="Arial"/>
      <w:kern w:val="0"/>
      <w:sz w:val="18"/>
      <w:szCs w:val="20"/>
    </w:rPr>
  </w:style>
  <w:style w:type="character" w:styleId="aa">
    <w:name w:val="annotation reference"/>
    <w:semiHidden/>
    <w:qFormat/>
    <w:rsid w:val="004D06E9"/>
    <w:rPr>
      <w:sz w:val="21"/>
      <w:szCs w:val="21"/>
    </w:rPr>
  </w:style>
  <w:style w:type="table" w:styleId="ab">
    <w:name w:val="Table Grid"/>
    <w:basedOn w:val="a1"/>
    <w:qFormat/>
    <w:rsid w:val="004D06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段"/>
    <w:qFormat/>
    <w:rsid w:val="004D06E9"/>
    <w:pPr>
      <w:autoSpaceDE w:val="0"/>
      <w:autoSpaceDN w:val="0"/>
      <w:ind w:firstLineChars="200" w:firstLine="200"/>
      <w:jc w:val="both"/>
    </w:pPr>
    <w:rPr>
      <w:rFonts w:ascii="宋体"/>
      <w:sz w:val="21"/>
    </w:rPr>
  </w:style>
  <w:style w:type="paragraph" w:customStyle="1" w:styleId="ad">
    <w:name w:val="五级条标题"/>
    <w:basedOn w:val="ae"/>
    <w:next w:val="ac"/>
    <w:qFormat/>
    <w:rsid w:val="004D06E9"/>
    <w:pPr>
      <w:outlineLvl w:val="6"/>
    </w:pPr>
  </w:style>
  <w:style w:type="paragraph" w:customStyle="1" w:styleId="ae">
    <w:name w:val="四级条标题"/>
    <w:basedOn w:val="af"/>
    <w:next w:val="ac"/>
    <w:qFormat/>
    <w:rsid w:val="004D06E9"/>
    <w:pPr>
      <w:outlineLvl w:val="5"/>
    </w:pPr>
  </w:style>
  <w:style w:type="paragraph" w:customStyle="1" w:styleId="af">
    <w:name w:val="三级条标题"/>
    <w:basedOn w:val="af0"/>
    <w:next w:val="ac"/>
    <w:qFormat/>
    <w:rsid w:val="004D06E9"/>
    <w:pPr>
      <w:outlineLvl w:val="4"/>
    </w:pPr>
  </w:style>
  <w:style w:type="paragraph" w:customStyle="1" w:styleId="af0">
    <w:name w:val="二级条标题"/>
    <w:basedOn w:val="af1"/>
    <w:next w:val="ac"/>
    <w:qFormat/>
    <w:rsid w:val="004D06E9"/>
    <w:pPr>
      <w:spacing w:before="50" w:after="50"/>
      <w:ind w:left="315"/>
      <w:outlineLvl w:val="3"/>
    </w:pPr>
  </w:style>
  <w:style w:type="paragraph" w:customStyle="1" w:styleId="af1">
    <w:name w:val="一级条标题"/>
    <w:next w:val="ac"/>
    <w:qFormat/>
    <w:rsid w:val="004D06E9"/>
    <w:pPr>
      <w:spacing w:beforeLines="50" w:afterLines="50"/>
      <w:outlineLvl w:val="2"/>
    </w:pPr>
    <w:rPr>
      <w:rFonts w:ascii="黑体" w:eastAsia="黑体"/>
      <w:sz w:val="21"/>
      <w:szCs w:val="21"/>
    </w:rPr>
  </w:style>
  <w:style w:type="paragraph" w:customStyle="1" w:styleId="Char">
    <w:name w:val="Char"/>
    <w:basedOn w:val="a"/>
    <w:qFormat/>
    <w:rsid w:val="004D06E9"/>
    <w:rPr>
      <w:rFonts w:ascii="Tahoma" w:hAnsi="Tahoma"/>
      <w:sz w:val="24"/>
      <w:szCs w:val="20"/>
    </w:rPr>
  </w:style>
  <w:style w:type="paragraph" w:customStyle="1" w:styleId="af2">
    <w:name w:val="章标题"/>
    <w:next w:val="ac"/>
    <w:qFormat/>
    <w:rsid w:val="004D06E9"/>
    <w:pPr>
      <w:spacing w:beforeLines="100" w:afterLines="100"/>
      <w:jc w:val="both"/>
      <w:outlineLvl w:val="1"/>
    </w:pPr>
    <w:rPr>
      <w:rFonts w:ascii="黑体" w:eastAsia="黑体"/>
      <w:sz w:val="21"/>
    </w:rPr>
  </w:style>
  <w:style w:type="paragraph" w:styleId="af3">
    <w:name w:val="List Paragraph"/>
    <w:basedOn w:val="a"/>
    <w:qFormat/>
    <w:rsid w:val="004D06E9"/>
    <w:pPr>
      <w:ind w:firstLineChars="200" w:firstLine="420"/>
    </w:pPr>
    <w:rPr>
      <w:rFonts w:ascii="Calibri" w:hAnsi="Calibri"/>
      <w:szCs w:val="22"/>
    </w:rPr>
  </w:style>
  <w:style w:type="paragraph" w:customStyle="1" w:styleId="Char1">
    <w:name w:val="Char1"/>
    <w:basedOn w:val="a"/>
    <w:qFormat/>
    <w:rsid w:val="004D06E9"/>
    <w:pPr>
      <w:widowControl/>
      <w:spacing w:after="160" w:line="240" w:lineRule="exact"/>
      <w:jc w:val="left"/>
    </w:pPr>
    <w:rPr>
      <w:rFonts w:ascii="Verdana" w:hAnsi="Verdana"/>
      <w:kern w:val="0"/>
      <w:sz w:val="18"/>
      <w:szCs w:val="20"/>
      <w:lang w:eastAsia="en-US"/>
    </w:rPr>
  </w:style>
  <w:style w:type="paragraph" w:customStyle="1" w:styleId="1">
    <w:name w:val="修订1"/>
    <w:hidden/>
    <w:uiPriority w:val="99"/>
    <w:semiHidden/>
    <w:qFormat/>
    <w:rsid w:val="004D06E9"/>
    <w:rPr>
      <w:kern w:val="2"/>
      <w:sz w:val="21"/>
      <w:szCs w:val="24"/>
    </w:rPr>
  </w:style>
  <w:style w:type="character" w:customStyle="1" w:styleId="3Char">
    <w:name w:val="标题 3 Char"/>
    <w:basedOn w:val="a0"/>
    <w:link w:val="3"/>
    <w:uiPriority w:val="9"/>
    <w:qFormat/>
    <w:rsid w:val="004D06E9"/>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50"/>
    <customShpInfo spid="_x0000_s1032"/>
    <customShpInfo spid="_x0000_s1030"/>
    <customShpInfo spid="_x0000_s1026"/>
    <customShpInfo spid="_x0000_s1027"/>
    <customShpInfo spid="_x0000_s1029"/>
    <customShpInfo spid="_x0000_s1031"/>
  </customShpExts>
</s:customData>
</file>

<file path=customXml/itemProps1.xml><?xml version="1.0" encoding="utf-8"?>
<ds:datastoreItem xmlns:ds="http://schemas.openxmlformats.org/officeDocument/2006/customXml" ds:itemID="{184F8D59-0656-4848-8DF9-FF6AD2C18E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352</Words>
  <Characters>2011</Characters>
  <Application>Microsoft Office Word</Application>
  <DocSecurity>0</DocSecurity>
  <Lines>16</Lines>
  <Paragraphs>4</Paragraphs>
  <ScaleCrop>false</ScaleCrop>
  <Company>微软中国</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2015年纸巾纸产品质量监督检查抽查实施细则</dc:title>
  <dc:creator>微软用户</dc:creator>
  <cp:lastModifiedBy>lenovo</cp:lastModifiedBy>
  <cp:revision>4</cp:revision>
  <dcterms:created xsi:type="dcterms:W3CDTF">2020-06-24T02:58:00Z</dcterms:created>
  <dcterms:modified xsi:type="dcterms:W3CDTF">2020-09-01T09:57:00Z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